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A14DE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14DEC" w:rsidRPr="00A14DEC">
        <w:rPr>
          <w:rFonts w:ascii="Traditional Arabic" w:hAnsi="Traditional Arabic" w:cs="Traditional Arabic" w:hint="cs"/>
          <w:color w:val="4F81BD" w:themeColor="accent1"/>
          <w:sz w:val="32"/>
          <w:szCs w:val="32"/>
          <w:rtl/>
        </w:rPr>
        <w:t xml:space="preserve">فقه المعاملات </w:t>
      </w:r>
      <w:r w:rsidR="00A14DEC">
        <w:rPr>
          <w:rFonts w:ascii="Traditional Arabic" w:hAnsi="Traditional Arabic" w:cs="Traditional Arabic" w:hint="cs"/>
          <w:color w:val="4F81BD" w:themeColor="accent1"/>
          <w:sz w:val="32"/>
          <w:szCs w:val="32"/>
          <w:rtl/>
        </w:rPr>
        <w:t xml:space="preserve">المالية </w:t>
      </w:r>
      <w:r w:rsidR="00A14DEC" w:rsidRPr="00A14DEC">
        <w:rPr>
          <w:rFonts w:ascii="Traditional Arabic" w:hAnsi="Traditional Arabic" w:cs="Traditional Arabic" w:hint="cs"/>
          <w:color w:val="4F81BD" w:themeColor="accent1"/>
          <w:sz w:val="32"/>
          <w:szCs w:val="32"/>
          <w:rtl/>
        </w:rPr>
        <w:t>(أصول الدين )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A14DEC" w:rsidRPr="00A14DEC">
        <w:rPr>
          <w:rFonts w:ascii="Traditional Arabic" w:hAnsi="Traditional Arabic" w:cs="Traditional Arabic" w:hint="cs"/>
          <w:color w:val="4F81BD" w:themeColor="accent1"/>
          <w:sz w:val="32"/>
          <w:szCs w:val="32"/>
          <w:rtl/>
          <w:lang w:bidi="ar-EG"/>
        </w:rPr>
        <w:t>فقه</w:t>
      </w:r>
      <w:r w:rsidR="00A14DE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A14DEC" w:rsidRPr="00A14DEC">
        <w:rPr>
          <w:rFonts w:ascii="Traditional Arabic" w:hAnsi="Traditional Arabic" w:cs="Traditional Arabic" w:hint="cs"/>
          <w:color w:val="4F81BD" w:themeColor="accent1"/>
          <w:sz w:val="32"/>
          <w:szCs w:val="32"/>
          <w:rtl/>
          <w:lang w:bidi="ar-EG"/>
        </w:rPr>
        <w:t>211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2968A6" w:rsidRDefault="009E7AC8" w:rsidP="002968A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 ا</w:t>
            </w:r>
            <w:r w:rsidR="009C396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لمعاملا</w:t>
            </w:r>
            <w:r w:rsidR="002968A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ت المالية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r w:rsidR="002968A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211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E8014E" w:rsidRDefault="00B82FD8" w:rsidP="00A14DE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A14DE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جامعة الإمام </w:t>
            </w:r>
            <w:r w:rsidR="00A14DEC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8"/>
                <w:szCs w:val="28"/>
                <w:rtl/>
              </w:rPr>
              <w:t>–</w:t>
            </w:r>
            <w:r w:rsidR="00A14DE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كلية أصول الدين 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B203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EB2030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B203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EB2030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B203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EB2030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B203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EB2030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  <w:bookmarkStart w:id="0" w:name="LastPosition"/>
            <w:bookmarkStart w:id="1" w:name="_GoBack"/>
            <w:bookmarkEnd w:id="0"/>
            <w:bookmarkEnd w:id="1"/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1"/>
        <w:gridCol w:w="936"/>
        <w:gridCol w:w="904"/>
        <w:gridCol w:w="1819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7573C7" w:rsidRPr="007573C7" w:rsidRDefault="007573C7" w:rsidP="007573C7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573C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عقودالمعاملاتالمالية</w:t>
            </w:r>
            <w:r w:rsidRPr="007573C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7573C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حقيقتها،أقسامها</w:t>
            </w:r>
            <w:r w:rsidRPr="007573C7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(ع</w:t>
            </w:r>
            <w:r w:rsidRPr="007573C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قودالمعاوضات،عقودالتوثيقات،عقودالتبرعا</w:t>
            </w:r>
            <w:r w:rsidRPr="007573C7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ت)</w:t>
            </w:r>
          </w:p>
          <w:p w:rsidR="00E14468" w:rsidRPr="002B72DE" w:rsidRDefault="007573C7" w:rsidP="007573C7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573C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الأصلفيالعقودوالشروط</w:t>
            </w:r>
          </w:p>
        </w:tc>
        <w:tc>
          <w:tcPr>
            <w:tcW w:w="1119" w:type="dxa"/>
            <w:vAlign w:val="center"/>
          </w:tcPr>
          <w:p w:rsidR="00E14468" w:rsidRPr="00E8014E" w:rsidRDefault="007573C7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تعط المحاضرة كما هو محدد بحيث نقص العدد كما هو مخطط يكتب العدد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 سبب اختلاف ساعات التتدريس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1E3701" w:rsidRPr="001E3701" w:rsidRDefault="001E3701" w:rsidP="001E3701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E370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البيع</w:t>
            </w:r>
            <w:r w:rsidRPr="001E370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1E370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تعريفه،أركانه،شروطصحته،الشروطفيالبيع،الخيار</w:t>
            </w:r>
            <w:r w:rsidRPr="001E370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1E3701" w:rsidRPr="001E3701" w:rsidRDefault="001E3701" w:rsidP="001E3701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E370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القبضوصورهالمعاصرة</w:t>
            </w:r>
            <w:r w:rsidRPr="001E370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657B44" w:rsidRDefault="001E3701" w:rsidP="001E3701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E370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1E370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لبيوعالمنهيعنهاوعللالنهي</w:t>
            </w:r>
            <w:r w:rsidRPr="001E370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635692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635692" w:rsidRPr="00635692" w:rsidRDefault="00635692" w:rsidP="00635692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356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الرباوالصرف</w:t>
            </w:r>
            <w:r w:rsidRPr="006356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6356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تعريفالربا،حكمه،أنواعه،علةالربا،تعريفالصرفوشروطه</w:t>
            </w:r>
            <w:r w:rsidRPr="0063569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BF7655" w:rsidRDefault="00F24600" w:rsidP="00F24600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2460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نبذةعنبعضالمعاملاتالمصرفيةالشائعة</w:t>
            </w:r>
            <w:r w:rsidRPr="00F2460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(</w:t>
            </w:r>
            <w:r w:rsidRPr="00F2460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الحسابالجاري،الودائعالآجلة،التورقالمصرف</w:t>
            </w:r>
            <w:r w:rsidRPr="00F24600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ي)</w:t>
            </w:r>
          </w:p>
        </w:tc>
        <w:tc>
          <w:tcPr>
            <w:tcW w:w="1119" w:type="dxa"/>
            <w:vAlign w:val="center"/>
          </w:tcPr>
          <w:p w:rsidR="00E14468" w:rsidRPr="00E8014E" w:rsidRDefault="00635692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0916D6" w:rsidRPr="000916D6" w:rsidRDefault="000916D6" w:rsidP="000916D6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السلم</w:t>
            </w: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تعريفه،شروطصحته،بيعالمسلمفيهقبلقبضه،تطبيقات معاصرةللسلم</w:t>
            </w: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0916D6" w:rsidRPr="000916D6" w:rsidRDefault="000916D6" w:rsidP="000916D6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عقدالاستصناع</w:t>
            </w:r>
            <w:r w:rsidRPr="000916D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: </w:t>
            </w: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تعريفه،حكمه،شروطه،تطبيقاتمعاصرة للاستصناع</w:t>
            </w: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E14468" w:rsidRPr="00E14468" w:rsidRDefault="000916D6" w:rsidP="000916D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القرض</w:t>
            </w: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تعريفه،حكمه،مايصحقرضهومالايصح،القرضإذا جرنفعا،ضوابطالمنفعةفيالقرض</w:t>
            </w:r>
            <w:r w:rsidRPr="000916D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  <w:r w:rsidR="00641367" w:rsidRPr="006413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تعريفالصرف،وشروطه، التطبيقات المعاصرة للصرف.</w:t>
            </w:r>
          </w:p>
        </w:tc>
        <w:tc>
          <w:tcPr>
            <w:tcW w:w="1119" w:type="dxa"/>
            <w:vAlign w:val="center"/>
          </w:tcPr>
          <w:p w:rsidR="00E14468" w:rsidRPr="00E8014E" w:rsidRDefault="000916D6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716F08" w:rsidRPr="00716F08" w:rsidRDefault="00716F08" w:rsidP="00716F08">
            <w:pP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الرهن: تعريفه، حكمه، شروطه، التصرف فيه، من صور الرهن المعاصرة الرهن الحيازي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E14468" w:rsidRPr="00E14468" w:rsidRDefault="00716F08" w:rsidP="00716F0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الضمان: تعريفه، حكمه، شروطه، أخذ العوض عليه، الضمان البنكي: صوره وحكمه.</w:t>
            </w:r>
          </w:p>
        </w:tc>
        <w:tc>
          <w:tcPr>
            <w:tcW w:w="1119" w:type="dxa"/>
            <w:vAlign w:val="center"/>
          </w:tcPr>
          <w:p w:rsidR="00E14468" w:rsidRPr="00E8014E" w:rsidRDefault="00716F0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7E180E" w:rsidRPr="007E180E" w:rsidRDefault="007E180E" w:rsidP="007E18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716F08" w:rsidRPr="00716F08" w:rsidRDefault="00716F08" w:rsidP="00716F0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الكفالة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تعريفها،حكمها،ماتصحفيه،الفرقبينهاوبينالضمان،مايبرأبه الكفيل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7E180E" w:rsidRPr="007E180E" w:rsidRDefault="00716F08" w:rsidP="00716F0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الحوالة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تعريفها،مشروعيتها،شروطها،أثرها،منيقبلقولهفي دعوىالحوالة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  <w:r w:rsidR="00302EE1" w:rsidRPr="00302EE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تطبيقات معاصرة للسلم والاستصناع( كالسلم الموازي والاستصناع الموازي ).</w:t>
            </w:r>
          </w:p>
          <w:p w:rsidR="00E14468" w:rsidRPr="007E180E" w:rsidRDefault="00E14468" w:rsidP="00E1446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716F0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40417E" w:rsidRPr="0040417E" w:rsidRDefault="0040417E" w:rsidP="0040417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716F08" w:rsidRPr="00716F08" w:rsidRDefault="00716F08" w:rsidP="00716F0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الوكالة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تعريفها،حكمها،ماتصحفيهومالاتصح،مبطلاتها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E14468" w:rsidRPr="00134897" w:rsidRDefault="00716F08" w:rsidP="00716F0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الإجارة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تعريفهاوبيانأقسامها،حكمها،شروطصحتها،الإجارةالمنتهيةبالتمليك</w:t>
            </w:r>
            <w:r w:rsidRPr="00716F0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302EE1" w:rsidP="00302EE1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 xml:space="preserve"> 4 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C16AC" w:rsidRPr="00E8014E" w:rsidTr="00A633B5">
        <w:tc>
          <w:tcPr>
            <w:tcW w:w="4308" w:type="dxa"/>
          </w:tcPr>
          <w:p w:rsidR="0054692B" w:rsidRPr="0054692B" w:rsidRDefault="0054692B" w:rsidP="0054692B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4692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الغصب: تعريفه، حكمه، ما يترتب عليه من الضمان</w:t>
            </w:r>
            <w:r w:rsidRPr="0054692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CC16AC" w:rsidRPr="00CC16AC" w:rsidRDefault="0054692B" w:rsidP="0054692B">
            <w:pPr>
              <w:pStyle w:val="ad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4692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الشفعة: تعريفها، حكمها، شروطها، مسقطاتها.</w:t>
            </w:r>
          </w:p>
        </w:tc>
        <w:tc>
          <w:tcPr>
            <w:tcW w:w="1119" w:type="dxa"/>
            <w:vAlign w:val="center"/>
          </w:tcPr>
          <w:p w:rsidR="00CC16AC" w:rsidRDefault="0054692B" w:rsidP="00CC16AC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C16AC" w:rsidRPr="00CC16AC" w:rsidRDefault="00CC16AC" w:rsidP="00CC16A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CC16AC" w:rsidRPr="006A6F6C" w:rsidRDefault="00CC16AC" w:rsidP="00CC16AC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CC16AC" w:rsidRPr="00E8014E" w:rsidTr="005B74CF">
        <w:tc>
          <w:tcPr>
            <w:tcW w:w="4308" w:type="dxa"/>
            <w:vAlign w:val="center"/>
          </w:tcPr>
          <w:p w:rsidR="0085427B" w:rsidRPr="0085427B" w:rsidRDefault="0085427B" w:rsidP="0085427B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الوقف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تعريفه،حكمه،شروطصحته،شروطالواقف،وقفالنقود،استبدالالوقفللمصلحة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85427B" w:rsidRPr="0085427B" w:rsidRDefault="0085427B" w:rsidP="0085427B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الهبة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تعريفها،حكمها،شروطصحتها،الرجوعفيها،التعديلفيعطيةالأولاد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  <w:p w:rsidR="00CC16AC" w:rsidRPr="0085427B" w:rsidRDefault="0085427B" w:rsidP="0085427B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الوصية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تعريفها،حكمها،شروطصحتها،الوصيةبالأنصبةوالأجزاء</w:t>
            </w:r>
            <w:r w:rsidRPr="0085427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CC16AC" w:rsidRDefault="0085427B" w:rsidP="00CC16AC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87" w:type="dxa"/>
          </w:tcPr>
          <w:p w:rsidR="00CC16AC" w:rsidRPr="00CC16AC" w:rsidRDefault="00CC16AC" w:rsidP="00CC16A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CC16AC" w:rsidRPr="006A6F6C" w:rsidRDefault="00CC16AC" w:rsidP="00CC16AC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5018"/>
        <w:gridCol w:w="2030"/>
        <w:gridCol w:w="1626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6C6FE5" w:rsidP="006C6FE5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6C6FE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أنيعرفالطالبأنالأصلفيعقودالمعاملاتالماليةالحلوالإباحة،ويميزمايحلومايحرمفي المعاوضاتوالبيوع</w:t>
            </w:r>
            <w:r w:rsidRPr="006C6FE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</w:tc>
        <w:tc>
          <w:tcPr>
            <w:tcW w:w="2896" w:type="dxa"/>
            <w:vMerge w:val="restart"/>
            <w:vAlign w:val="center"/>
          </w:tcPr>
          <w:p w:rsidR="00206CFE" w:rsidRPr="00E8014E" w:rsidRDefault="00206CFE" w:rsidP="00206CF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تقييم الأقران.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75778E" w:rsidRPr="0075778E" w:rsidRDefault="00206CFE" w:rsidP="00206CFE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537165" w:rsidRPr="00E8014E" w:rsidTr="000971B4">
        <w:trPr>
          <w:trHeight w:val="140"/>
        </w:trPr>
        <w:tc>
          <w:tcPr>
            <w:tcW w:w="686" w:type="dxa"/>
          </w:tcPr>
          <w:p w:rsidR="00537165" w:rsidRPr="00857BFF" w:rsidRDefault="00537165" w:rsidP="0053716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65" w:rsidRPr="000971B4" w:rsidRDefault="000971B4" w:rsidP="009A0A79">
            <w:pPr>
              <w:pStyle w:val="a9"/>
              <w:ind w:left="0"/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0971B4"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  <w:t>أ</w:t>
            </w:r>
            <w:r w:rsidR="009A0A79">
              <w:rPr>
                <w:rFonts w:ascii="Traditional Arabic" w:eastAsia="Times New Roman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ن يكون الطالب قادرا على </w:t>
            </w:r>
            <w:r w:rsidR="009A0A79">
              <w:rPr>
                <w:rFonts w:ascii="Traditional Arabic" w:eastAsia="Times New Roman" w:hAnsi="Traditional Arabic" w:cs="Traditional Arabic" w:hint="cs"/>
                <w:color w:val="4F81BD" w:themeColor="accent1"/>
                <w:sz w:val="28"/>
                <w:szCs w:val="28"/>
                <w:rtl/>
                <w:lang w:val="en-AU"/>
              </w:rPr>
              <w:t>توضيح</w:t>
            </w:r>
            <w:r w:rsidRPr="000971B4"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  <w:t>أحكامالربا،والسلم،والقرض</w:t>
            </w:r>
            <w:r w:rsidRPr="000971B4"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lang w:val="en-AU"/>
              </w:rPr>
              <w:t>.</w:t>
            </w:r>
          </w:p>
        </w:tc>
        <w:tc>
          <w:tcPr>
            <w:tcW w:w="2896" w:type="dxa"/>
            <w:vMerge/>
          </w:tcPr>
          <w:p w:rsidR="00537165" w:rsidRPr="00E8014E" w:rsidRDefault="00537165" w:rsidP="0053716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537165" w:rsidRDefault="00537165" w:rsidP="00537165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10ED4" w:rsidRPr="00E8014E" w:rsidTr="000971B4">
        <w:tc>
          <w:tcPr>
            <w:tcW w:w="686" w:type="dxa"/>
          </w:tcPr>
          <w:p w:rsidR="00610ED4" w:rsidRPr="00857BFF" w:rsidRDefault="00610ED4" w:rsidP="00610ED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D4" w:rsidRPr="00FA4E50" w:rsidRDefault="00610ED4" w:rsidP="00610ED4">
            <w:pPr>
              <w:pStyle w:val="a9"/>
              <w:ind w:left="0"/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610ED4"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 على توضيح جملة من النوازل في الجنايات, ومعرفة أحكامها الفقهية.</w:t>
            </w:r>
          </w:p>
        </w:tc>
        <w:tc>
          <w:tcPr>
            <w:tcW w:w="2896" w:type="dxa"/>
            <w:vMerge/>
          </w:tcPr>
          <w:p w:rsidR="00610ED4" w:rsidRPr="00E8014E" w:rsidRDefault="00610ED4" w:rsidP="00610ED4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610ED4" w:rsidRDefault="00610ED4" w:rsidP="00610ED4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0971B4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</w:tcPr>
          <w:p w:rsidR="00FA4E50" w:rsidRPr="00DA5816" w:rsidRDefault="00FA4E50" w:rsidP="00DA5816">
            <w:pPr>
              <w:pStyle w:val="a9"/>
              <w:ind w:left="0"/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  <w:lang w:val="en-AU"/>
              </w:rPr>
            </w:pPr>
            <w:r w:rsidRPr="00FA4E50"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 على توضيح جملة من النوازل في ال</w:t>
            </w:r>
            <w:r w:rsidRPr="00FA4E50">
              <w:rPr>
                <w:rFonts w:ascii="Traditional Arabic" w:eastAsia="Times New Roman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معاملات </w:t>
            </w:r>
            <w:r w:rsidRPr="00FA4E50"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  <w:lastRenderedPageBreak/>
              <w:t>,</w:t>
            </w:r>
            <w:r w:rsidR="00DA5816" w:rsidRPr="00DA5816">
              <w:rPr>
                <w:rFonts w:ascii="Traditional Arabic" w:eastAsia="Times New Roman" w:hAnsi="Traditional Arabic" w:cs="Traditional Arabic"/>
                <w:color w:val="4F81BD" w:themeColor="accent1"/>
                <w:sz w:val="28"/>
                <w:szCs w:val="28"/>
                <w:rtl/>
              </w:rPr>
              <w:t>عقودالتوثيقات،وعقودالتبرعاتوصورهاالمعاصرة</w:t>
            </w:r>
            <w:r w:rsidR="00DA5816">
              <w:rPr>
                <w:rFonts w:ascii="Traditional Arabic" w:eastAsia="Times New Roman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2</w:t>
            </w:r>
          </w:p>
        </w:tc>
        <w:tc>
          <w:tcPr>
            <w:tcW w:w="8674" w:type="dxa"/>
            <w:gridSpan w:val="3"/>
          </w:tcPr>
          <w:p w:rsidR="00FA4E50" w:rsidRPr="00857BFF" w:rsidRDefault="00FA4E50" w:rsidP="00FA4E5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FA4E50" w:rsidRPr="00E8014E" w:rsidRDefault="00FA4E50" w:rsidP="00FA4E5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96" w:type="dxa"/>
            <w:vMerge w:val="restart"/>
            <w:vAlign w:val="center"/>
          </w:tcPr>
          <w:p w:rsidR="00206CFE" w:rsidRPr="00E8014E" w:rsidRDefault="00206CFE" w:rsidP="00206CFE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206CFE" w:rsidRPr="00E8014E" w:rsidRDefault="00206CFE" w:rsidP="00206CFE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206CFE" w:rsidRPr="00E8014E" w:rsidRDefault="00206CFE" w:rsidP="00206CFE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FA4E50" w:rsidRPr="00E8014E" w:rsidRDefault="00206CFE" w:rsidP="00206CFE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  <w:vAlign w:val="center"/>
          </w:tcPr>
          <w:p w:rsidR="00FA4E50" w:rsidRPr="00E8014E" w:rsidRDefault="00FA4E50" w:rsidP="00FA4E50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FA4E50" w:rsidRPr="00E8014E" w:rsidRDefault="00FA4E50" w:rsidP="00FA4E5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FA4E50" w:rsidRPr="00E8014E" w:rsidRDefault="00FA4E50" w:rsidP="00FA4E5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إظهار التعامل الحسن مع الخلاف وأنواعه .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FA4E50" w:rsidRPr="00E8014E" w:rsidRDefault="00FA4E50" w:rsidP="00FA4E5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استنباط سبب الخلاف 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FA4E50" w:rsidRPr="00E8014E" w:rsidRDefault="00FA4E50" w:rsidP="00FA4E50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 على تنزيل المسائل على الواقع بعد تصورها.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FA4E50" w:rsidRPr="00134897" w:rsidRDefault="00FA4E50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FA4E50" w:rsidRPr="00134897" w:rsidRDefault="00FA4E50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FA4E50" w:rsidRPr="00134897" w:rsidRDefault="00FA4E50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القواعد والأصول على فروع المسائل القديمة والمسائل 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</w:p>
        </w:tc>
        <w:tc>
          <w:tcPr>
            <w:tcW w:w="2896" w:type="dxa"/>
            <w:vMerge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FA4E50" w:rsidRPr="00134897" w:rsidRDefault="00FA4E50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9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Pr="00E14468" w:rsidRDefault="00FA4E50" w:rsidP="00FA4E50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206CFE" w:rsidRPr="00E8014E" w:rsidRDefault="00206CFE" w:rsidP="00206CFE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ملاحظة  أداء الطلاب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>أثناء المناقشة والحوار 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FA4E50" w:rsidRPr="00E8014E" w:rsidRDefault="00206CFE" w:rsidP="00206CFE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 .</w:t>
            </w: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3.3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3.4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FA4E50" w:rsidRPr="00E8014E" w:rsidTr="005B74CF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FA4E50" w:rsidRPr="00134897" w:rsidRDefault="00FA4E50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206CFE" w:rsidRPr="00E8014E" w:rsidRDefault="00206CFE" w:rsidP="00206CFE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206CFE" w:rsidRPr="00E8014E" w:rsidRDefault="00206CFE" w:rsidP="00206CFE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FA4E50" w:rsidRPr="00E8014E" w:rsidRDefault="00206CFE" w:rsidP="00206CFE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 .</w:t>
            </w: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E14468">
        <w:tc>
          <w:tcPr>
            <w:tcW w:w="686" w:type="dxa"/>
          </w:tcPr>
          <w:p w:rsidR="00FA4E50" w:rsidRPr="00857BFF" w:rsidRDefault="00FA4E50" w:rsidP="00FA4E5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5B74CF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5B74CF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FA4E50" w:rsidRPr="00134897" w:rsidRDefault="00FA4E50" w:rsidP="00FA4E50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 تقديم الواجبات والتقارير 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A4E50" w:rsidRPr="00E8014E" w:rsidTr="005B74CF">
        <w:tc>
          <w:tcPr>
            <w:tcW w:w="686" w:type="dxa"/>
            <w:vAlign w:val="center"/>
          </w:tcPr>
          <w:p w:rsidR="00FA4E50" w:rsidRPr="003B42CB" w:rsidRDefault="00FA4E50" w:rsidP="00FA4E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FA4E50" w:rsidRPr="00134897" w:rsidRDefault="00FA4E50" w:rsidP="00FA4E50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FA4E50" w:rsidRPr="00E8014E" w:rsidRDefault="00FA4E50" w:rsidP="00FA4E5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FA4E50" w:rsidRDefault="00FA4E50" w:rsidP="00FA4E50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0734D1" w:rsidRDefault="00FA2937" w:rsidP="000734D1"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lastRenderedPageBreak/>
        <w:t>ملاحظة:</w:t>
      </w:r>
      <w:r w:rsidR="000734D1" w:rsidRPr="000734D1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0734D1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0734D1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B76957" w:rsidRPr="000734D1" w:rsidRDefault="00B76957" w:rsidP="000734D1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Default="00A14DEC" w:rsidP="004A5476">
      <w:pPr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  <w:r>
        <w:rPr>
          <w:rFonts w:asciiTheme="minorBidi" w:hAnsiTheme="minorBidi" w:cstheme="minorBidi" w:hint="cs"/>
          <w:sz w:val="28"/>
          <w:szCs w:val="28"/>
          <w:rtl/>
          <w:lang w:val="en-US"/>
        </w:rPr>
        <w:t>مصفوفة الاختبار :</w:t>
      </w:r>
    </w:p>
    <w:p w:rsidR="00A14DEC" w:rsidRPr="00EA3A93" w:rsidRDefault="00A14DEC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Style w:val="ac"/>
        <w:tblW w:w="9781" w:type="dxa"/>
        <w:tblInd w:w="-459" w:type="dxa"/>
        <w:tblLook w:val="04A0"/>
      </w:tblPr>
      <w:tblGrid>
        <w:gridCol w:w="992"/>
        <w:gridCol w:w="987"/>
        <w:gridCol w:w="992"/>
        <w:gridCol w:w="1074"/>
        <w:gridCol w:w="957"/>
        <w:gridCol w:w="4779"/>
      </w:tblGrid>
      <w:tr w:rsidR="00A14DEC" w:rsidRPr="00B66391" w:rsidTr="00A14DEC">
        <w:tc>
          <w:tcPr>
            <w:tcW w:w="993" w:type="dxa"/>
            <w:shd w:val="clear" w:color="auto" w:fill="auto"/>
          </w:tcPr>
          <w:p w:rsidR="00A14DEC" w:rsidRPr="00B66391" w:rsidRDefault="00A14DEC" w:rsidP="00E11E0D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الدرجة </w:t>
            </w:r>
            <w:r w:rsidRPr="00305E92">
              <w:rPr>
                <w:rFonts w:hint="cs"/>
                <w:sz w:val="28"/>
                <w:szCs w:val="28"/>
                <w:highlight w:val="lightGray"/>
                <w:rtl/>
                <w:lang w:val="en-US"/>
              </w:rPr>
              <w:t>التقريبية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المستحقة من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65</w:t>
            </w:r>
          </w:p>
        </w:tc>
        <w:tc>
          <w:tcPr>
            <w:tcW w:w="890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811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510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A14DEC" w:rsidRPr="00B66391" w:rsidTr="00A14DEC">
        <w:tc>
          <w:tcPr>
            <w:tcW w:w="99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عقود المعاملات المالية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حقيقتها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أقسامها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الأصل فيها .</w:t>
            </w:r>
          </w:p>
        </w:tc>
      </w:tr>
      <w:tr w:rsidR="00A14DEC" w:rsidRPr="00B66391" w:rsidTr="00A14DEC">
        <w:tc>
          <w:tcPr>
            <w:tcW w:w="99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%13.3</w:t>
            </w:r>
          </w:p>
        </w:tc>
        <w:tc>
          <w:tcPr>
            <w:tcW w:w="811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البيع </w:t>
            </w:r>
          </w:p>
        </w:tc>
      </w:tr>
      <w:tr w:rsidR="00A14DEC" w:rsidRPr="00B66391" w:rsidTr="00A14DEC">
        <w:tc>
          <w:tcPr>
            <w:tcW w:w="99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%13.3</w:t>
            </w:r>
          </w:p>
        </w:tc>
        <w:tc>
          <w:tcPr>
            <w:tcW w:w="811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الربا والصرف </w:t>
            </w:r>
          </w:p>
        </w:tc>
      </w:tr>
      <w:tr w:rsidR="00A14DEC" w:rsidRPr="00B66391" w:rsidTr="00A14DEC">
        <w:tc>
          <w:tcPr>
            <w:tcW w:w="99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%13.3</w:t>
            </w:r>
          </w:p>
        </w:tc>
        <w:tc>
          <w:tcPr>
            <w:tcW w:w="811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السلم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عقد الاستصناع-  القرض</w:t>
            </w:r>
          </w:p>
        </w:tc>
      </w:tr>
      <w:tr w:rsidR="00A14DEC" w:rsidRPr="00B66391" w:rsidTr="00A14DEC">
        <w:tc>
          <w:tcPr>
            <w:tcW w:w="99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الرهن</w:t>
            </w:r>
          </w:p>
        </w:tc>
      </w:tr>
      <w:tr w:rsidR="00A14DEC" w:rsidRPr="00B66391" w:rsidTr="00A14DEC">
        <w:tc>
          <w:tcPr>
            <w:tcW w:w="99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الكفالة - الحوالة</w:t>
            </w:r>
          </w:p>
        </w:tc>
      </w:tr>
      <w:tr w:rsidR="00A14DEC" w:rsidRPr="00B66391" w:rsidTr="00A14DEC">
        <w:tc>
          <w:tcPr>
            <w:tcW w:w="99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%13.3</w:t>
            </w:r>
          </w:p>
        </w:tc>
        <w:tc>
          <w:tcPr>
            <w:tcW w:w="811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الوكالة - الإجارة</w:t>
            </w:r>
          </w:p>
        </w:tc>
      </w:tr>
      <w:tr w:rsidR="00A14DEC" w:rsidRPr="00B66391" w:rsidTr="00A14DEC">
        <w:tc>
          <w:tcPr>
            <w:tcW w:w="99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%6.6</w:t>
            </w:r>
          </w:p>
        </w:tc>
        <w:tc>
          <w:tcPr>
            <w:tcW w:w="811" w:type="dxa"/>
            <w:shd w:val="clear" w:color="auto" w:fill="auto"/>
          </w:tcPr>
          <w:p w:rsidR="00A14DEC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14DEC" w:rsidRDefault="00A14DEC" w:rsidP="00E11E0D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الغصب - الشفعة</w:t>
            </w:r>
          </w:p>
        </w:tc>
      </w:tr>
      <w:tr w:rsidR="00A14DEC" w:rsidRPr="00B66391" w:rsidTr="00A14DEC">
        <w:tc>
          <w:tcPr>
            <w:tcW w:w="99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90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%20</w:t>
            </w:r>
          </w:p>
        </w:tc>
        <w:tc>
          <w:tcPr>
            <w:tcW w:w="811" w:type="dxa"/>
            <w:shd w:val="clear" w:color="auto" w:fill="auto"/>
          </w:tcPr>
          <w:p w:rsidR="00A14DEC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A14DEC" w:rsidRDefault="00A14DEC" w:rsidP="00E11E0D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الوقف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الهبة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الوصية </w:t>
            </w:r>
          </w:p>
        </w:tc>
      </w:tr>
      <w:tr w:rsidR="00A14DEC" w:rsidRPr="00B66391" w:rsidTr="00A14DEC">
        <w:tc>
          <w:tcPr>
            <w:tcW w:w="993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64.6</w:t>
            </w:r>
          </w:p>
        </w:tc>
        <w:tc>
          <w:tcPr>
            <w:tcW w:w="890" w:type="dxa"/>
            <w:shd w:val="clear" w:color="auto" w:fill="auto"/>
          </w:tcPr>
          <w:p w:rsidR="00A14DEC" w:rsidRPr="00B66391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%99.6</w:t>
            </w:r>
          </w:p>
        </w:tc>
        <w:tc>
          <w:tcPr>
            <w:tcW w:w="811" w:type="dxa"/>
            <w:shd w:val="clear" w:color="auto" w:fill="auto"/>
          </w:tcPr>
          <w:p w:rsidR="00A14DEC" w:rsidRDefault="00A14DEC" w:rsidP="00E11E0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A14DEC" w:rsidRDefault="00A14DEC" w:rsidP="00E11E0D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المجموع</w:t>
            </w:r>
          </w:p>
        </w:tc>
      </w:tr>
    </w:tbl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منحنى توزيع الدرجات ( الرسم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876" w:rsidRDefault="00167876">
      <w:r>
        <w:separator/>
      </w:r>
    </w:p>
  </w:endnote>
  <w:endnote w:type="continuationSeparator" w:id="1">
    <w:p w:rsidR="00167876" w:rsidRDefault="0016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B4" w:rsidRPr="00E85FEB" w:rsidRDefault="000971B4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0971B4" w:rsidRDefault="001637B0" w:rsidP="00A97885">
    <w:pPr>
      <w:pStyle w:val="a3"/>
      <w:bidi/>
      <w:jc w:val="right"/>
    </w:pPr>
    <w:r w:rsidRPr="001637B0">
      <w:fldChar w:fldCharType="begin"/>
    </w:r>
    <w:r w:rsidR="000971B4">
      <w:instrText xml:space="preserve"> PAGE   \* MERGEFORMAT </w:instrText>
    </w:r>
    <w:r w:rsidRPr="001637B0">
      <w:fldChar w:fldCharType="separate"/>
    </w:r>
    <w:r w:rsidR="00206CFE" w:rsidRPr="00206CFE">
      <w:rPr>
        <w:noProof/>
        <w:rtl/>
        <w:lang w:val="ar-SA"/>
      </w:rPr>
      <w:t>11</w:t>
    </w:r>
    <w:r>
      <w:rPr>
        <w:noProof/>
        <w:lang w:val="ar-SA"/>
      </w:rPr>
      <w:fldChar w:fldCharType="end"/>
    </w:r>
  </w:p>
  <w:p w:rsidR="000971B4" w:rsidRPr="0094487B" w:rsidRDefault="000971B4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B4" w:rsidRPr="00BD314D" w:rsidRDefault="000971B4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0971B4" w:rsidRDefault="000971B4" w:rsidP="003A369E">
    <w:pPr>
      <w:pStyle w:val="a3"/>
      <w:bidi/>
    </w:pPr>
  </w:p>
  <w:p w:rsidR="000971B4" w:rsidRDefault="000971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876" w:rsidRDefault="00167876">
      <w:r>
        <w:separator/>
      </w:r>
    </w:p>
  </w:footnote>
  <w:footnote w:type="continuationSeparator" w:id="1">
    <w:p w:rsidR="00167876" w:rsidRDefault="00167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B4" w:rsidRDefault="000971B4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1B4" w:rsidRPr="00E9121F" w:rsidRDefault="000971B4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162"/>
    <w:multiLevelType w:val="hybridMultilevel"/>
    <w:tmpl w:val="6F2EC640"/>
    <w:lvl w:ilvl="0" w:tplc="62DE35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4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>
    <w:nsid w:val="327604A8"/>
    <w:multiLevelType w:val="hybridMultilevel"/>
    <w:tmpl w:val="AF10AAA4"/>
    <w:lvl w:ilvl="0" w:tplc="C7D4AAB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517734"/>
    <w:multiLevelType w:val="hybridMultilevel"/>
    <w:tmpl w:val="665AF040"/>
    <w:lvl w:ilvl="0" w:tplc="C7D4AAB2">
      <w:numFmt w:val="bullet"/>
      <w:lvlText w:val="-"/>
      <w:lvlJc w:val="left"/>
      <w:pPr>
        <w:ind w:left="45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7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9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D3F40"/>
    <w:multiLevelType w:val="hybridMultilevel"/>
    <w:tmpl w:val="E3CA475C"/>
    <w:lvl w:ilvl="0" w:tplc="C7D4A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15"/>
  </w:num>
  <w:num w:numId="13">
    <w:abstractNumId w:val="16"/>
  </w:num>
  <w:num w:numId="14">
    <w:abstractNumId w:val="14"/>
  </w:num>
  <w:num w:numId="15">
    <w:abstractNumId w:val="5"/>
  </w:num>
  <w:num w:numId="16">
    <w:abstractNumId w:val="3"/>
  </w:num>
  <w:num w:numId="17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4D1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16D6"/>
    <w:rsid w:val="00091ADE"/>
    <w:rsid w:val="00093AD8"/>
    <w:rsid w:val="00093EAA"/>
    <w:rsid w:val="00094D66"/>
    <w:rsid w:val="0009535F"/>
    <w:rsid w:val="00096364"/>
    <w:rsid w:val="00096438"/>
    <w:rsid w:val="0009684B"/>
    <w:rsid w:val="00096C5D"/>
    <w:rsid w:val="000971B4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37B0"/>
    <w:rsid w:val="001645B2"/>
    <w:rsid w:val="00164EFC"/>
    <w:rsid w:val="0016577A"/>
    <w:rsid w:val="00165D66"/>
    <w:rsid w:val="001661EC"/>
    <w:rsid w:val="00166D54"/>
    <w:rsid w:val="00167716"/>
    <w:rsid w:val="00167876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01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CFE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0FA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8A6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2EE1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6646D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02C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2D56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CA7"/>
    <w:rsid w:val="00535F63"/>
    <w:rsid w:val="00536756"/>
    <w:rsid w:val="00536A8A"/>
    <w:rsid w:val="00537165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2B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0182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2886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0ED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692"/>
    <w:rsid w:val="00635EA3"/>
    <w:rsid w:val="00635F1A"/>
    <w:rsid w:val="00636831"/>
    <w:rsid w:val="006379F1"/>
    <w:rsid w:val="00637C73"/>
    <w:rsid w:val="00637C94"/>
    <w:rsid w:val="00640DAD"/>
    <w:rsid w:val="00641367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523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185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6FE5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6F08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3C7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8D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27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0A79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1A1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3966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2F57"/>
    <w:rsid w:val="00A146DD"/>
    <w:rsid w:val="00A1499C"/>
    <w:rsid w:val="00A14DE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3B5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270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BF7655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732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6AC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3BB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63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5816"/>
    <w:rsid w:val="00DA6043"/>
    <w:rsid w:val="00DA7ACD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61F5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030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4600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4E50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6B790F-CE03-44F8-A25E-CAD4AB13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1907</Words>
  <Characters>10874</Characters>
  <Application>Microsoft Office Word</Application>
  <DocSecurity>0</DocSecurity>
  <Lines>90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4</cp:revision>
  <cp:lastPrinted>2016-01-19T12:24:00Z</cp:lastPrinted>
  <dcterms:created xsi:type="dcterms:W3CDTF">2018-04-17T14:44:00Z</dcterms:created>
  <dcterms:modified xsi:type="dcterms:W3CDTF">2018-04-20T16:52:00Z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