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AA7385">
        <w:rPr>
          <w:rFonts w:ascii="Traditional Arabic" w:hAnsi="Traditional Arabic" w:cs="Traditional Arabic" w:hint="cs"/>
          <w:sz w:val="32"/>
          <w:szCs w:val="32"/>
          <w:rtl/>
        </w:rPr>
        <w:t xml:space="preserve"> مقومات الفكر الإسلامي وخصائصة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AA738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ثقف 301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الثقافة الإسلاميه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AA73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AA738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مقومات الفكر الإسلامي وخصائصة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AA73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ثقف </w:t>
            </w:r>
            <w:r w:rsidR="00AA738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301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  <w:p w:rsidR="00BB4D07" w:rsidRPr="00E8014E" w:rsidRDefault="00B82FD8" w:rsidP="005F0AC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lang w:val="en-US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المدخل: 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lang w:val="en-US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أ- تعريف الفكر الإسلامي: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- المدلول العام للفكر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-أهمية الفكر في حياة الإنسان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-مصطلح الفكر الإسلامي-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lang w:val="en-US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أثر الفكر الإسلامي</w:t>
            </w:r>
          </w:p>
        </w:tc>
        <w:tc>
          <w:tcPr>
            <w:tcW w:w="1119" w:type="dxa"/>
            <w:vAlign w:val="center"/>
          </w:tcPr>
          <w:p w:rsidR="00AA7385" w:rsidRPr="00E8014E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AA7385" w:rsidRPr="00E8014E" w:rsidRDefault="00AA7385" w:rsidP="00AA738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AA7385" w:rsidRDefault="00AA7385" w:rsidP="00AA738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AA7385" w:rsidRPr="00E8014E" w:rsidRDefault="00AA7385" w:rsidP="00AA7385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AA7385" w:rsidRDefault="00AA7385" w:rsidP="00AA738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AA7385" w:rsidRPr="00E8014E" w:rsidRDefault="00AA7385" w:rsidP="00AA7385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AA7385" w:rsidRPr="00E8014E" w:rsidRDefault="00AA7385" w:rsidP="00AA738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ب- النهج العلمي في التفكير: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lastRenderedPageBreak/>
              <w:t xml:space="preserve">         - تعريف المنهج العلمي في التفكير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    -  أهمية اتباعه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lang w:val="en-US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   - أهدافه ( معرفة الحق – إثباته -  الاجتماع عليه )   </w:t>
            </w:r>
          </w:p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  - نماذج من التراث الإسلامي   </w:t>
            </w:r>
          </w:p>
        </w:tc>
        <w:tc>
          <w:tcPr>
            <w:tcW w:w="1119" w:type="dxa"/>
            <w:vAlign w:val="center"/>
          </w:tcPr>
          <w:p w:rsidR="00AA7385" w:rsidRPr="00E8014E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AA7385" w:rsidRPr="006A6F6C" w:rsidRDefault="00AA7385" w:rsidP="00AA738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  <w:lang w:val="en-US"/>
              </w:rPr>
            </w:pP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lang w:val="en-US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مقومات الفكر الإسلامي:                 </w:t>
            </w:r>
          </w:p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  <w:lang w:val="en-US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 - مصادر المعرفة ( الفطرة-الحس والتجربة-العقل-الوحي الإلهي)</w:t>
            </w:r>
          </w:p>
        </w:tc>
        <w:tc>
          <w:tcPr>
            <w:tcW w:w="1119" w:type="dxa"/>
            <w:vAlign w:val="center"/>
          </w:tcPr>
          <w:p w:rsidR="00AA7385" w:rsidRPr="00E8014E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AA7385" w:rsidRPr="006A6F6C" w:rsidRDefault="00AA7385" w:rsidP="00AA738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  أ- العقيدة</w:t>
            </w:r>
          </w:p>
        </w:tc>
        <w:tc>
          <w:tcPr>
            <w:tcW w:w="1119" w:type="dxa"/>
            <w:vAlign w:val="center"/>
          </w:tcPr>
          <w:p w:rsidR="00AA7385" w:rsidRPr="00E8014E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AA7385" w:rsidRPr="006A6F6C" w:rsidRDefault="00AA7385" w:rsidP="00AA738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  ب-  الشريعة</w:t>
            </w:r>
          </w:p>
        </w:tc>
        <w:tc>
          <w:tcPr>
            <w:tcW w:w="1119" w:type="dxa"/>
            <w:vAlign w:val="center"/>
          </w:tcPr>
          <w:p w:rsidR="00AA7385" w:rsidRPr="00E8014E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AA7385" w:rsidRPr="006A6F6C" w:rsidRDefault="00AA7385" w:rsidP="00AA738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ج- عمل العقل والحس وجهود العلماء في ذلك</w:t>
            </w:r>
          </w:p>
        </w:tc>
        <w:tc>
          <w:tcPr>
            <w:tcW w:w="1119" w:type="dxa"/>
            <w:vAlign w:val="center"/>
          </w:tcPr>
          <w:p w:rsidR="00AA7385" w:rsidRPr="00E8014E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AA7385" w:rsidRPr="006A6F6C" w:rsidRDefault="00AA7385" w:rsidP="00AA738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د – رعاية الحق</w:t>
            </w:r>
          </w:p>
        </w:tc>
        <w:tc>
          <w:tcPr>
            <w:tcW w:w="1119" w:type="dxa"/>
            <w:vAlign w:val="center"/>
          </w:tcPr>
          <w:p w:rsidR="00AA7385" w:rsidRPr="00E8014E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AA7385" w:rsidRPr="006A6F6C" w:rsidRDefault="00AA7385" w:rsidP="00AA738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هـ- اللغة العربية والتاريخ الإسلامي</w:t>
            </w:r>
          </w:p>
        </w:tc>
        <w:tc>
          <w:tcPr>
            <w:tcW w:w="1119" w:type="dxa"/>
            <w:vAlign w:val="center"/>
          </w:tcPr>
          <w:p w:rsidR="00AA7385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AA7385" w:rsidRPr="00A47A33" w:rsidRDefault="00AA7385" w:rsidP="00AA7385">
            <w:pPr>
              <w:jc w:val="center"/>
              <w:rPr>
                <w:rFonts w:ascii="Traditional Arabic" w:hAnsi="Traditional Arabic" w:cs="Traditional Arabic"/>
                <w:color w:val="00B050"/>
                <w:rtl/>
                <w:lang w:val="en-US"/>
              </w:rPr>
            </w:pPr>
            <w:r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خصائص الفكر الإسلامي :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أ- ربانيته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ب- واقعيته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ج-شموله لشتى مجالات المعرفة الدينية والدنيوية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lang w:val="en-US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د-اعتماده للعقل والتجريب بعد الوحي لإثبات الحق وتحري اليقين</w:t>
            </w:r>
          </w:p>
          <w:p w:rsidR="00AA7385" w:rsidRPr="00716003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هـ-نبذه للظن والتقليد الأعمى</w:t>
            </w:r>
          </w:p>
        </w:tc>
        <w:tc>
          <w:tcPr>
            <w:tcW w:w="1119" w:type="dxa"/>
            <w:vAlign w:val="center"/>
          </w:tcPr>
          <w:p w:rsidR="00AA7385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AA7385" w:rsidRPr="006A6F6C" w:rsidRDefault="00AA7385" w:rsidP="00AA738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4170F7">
        <w:tc>
          <w:tcPr>
            <w:tcW w:w="4308" w:type="dxa"/>
          </w:tcPr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4) التجديد في الفكر الإسلامي :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  أ- مفهوم التجديد في الفكر الإسلامي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 ب- نزعات التجديد التأصيلية</w:t>
            </w:r>
          </w:p>
          <w:p w:rsidR="00AA7385" w:rsidRPr="00716003" w:rsidRDefault="00AA7385" w:rsidP="00AA7385">
            <w:pPr>
              <w:bidi/>
              <w:ind w:left="56"/>
              <w:jc w:val="lowKashida"/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  <w:lang w:val="en-US"/>
              </w:rPr>
            </w:pPr>
            <w:r w:rsidRPr="0071600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 xml:space="preserve">    ج- نزعات التجديد الأخرى</w:t>
            </w:r>
          </w:p>
        </w:tc>
        <w:tc>
          <w:tcPr>
            <w:tcW w:w="1119" w:type="dxa"/>
            <w:vAlign w:val="center"/>
          </w:tcPr>
          <w:p w:rsidR="00AA7385" w:rsidRDefault="00AA7385" w:rsidP="00AA738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6</w:t>
            </w:r>
          </w:p>
        </w:tc>
        <w:tc>
          <w:tcPr>
            <w:tcW w:w="1087" w:type="dxa"/>
          </w:tcPr>
          <w:p w:rsidR="00AA7385" w:rsidRPr="006A6F6C" w:rsidRDefault="00AA7385" w:rsidP="00AA738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AA7385" w:rsidRPr="006A6F6C" w:rsidRDefault="00AA7385" w:rsidP="00AA7385">
            <w:pPr>
              <w:rPr>
                <w:rFonts w:ascii="Traditional Arabic" w:hAnsi="Traditional Arabic" w:cs="Traditional Arabic"/>
                <w:color w:val="00B050"/>
              </w:rPr>
            </w:pPr>
            <w:r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lastRenderedPageBreak/>
              <w:t xml:space="preserve">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873"/>
        <w:gridCol w:w="2882"/>
        <w:gridCol w:w="2857"/>
      </w:tblGrid>
      <w:tr w:rsidR="00B82FD8" w:rsidRPr="00E8014E" w:rsidTr="007B11D7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12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AA7385" w:rsidRPr="00E8014E" w:rsidTr="009F15D6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73" w:type="dxa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>كون الطالب قادراً على توضيح</w:t>
            </w: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 xml:space="preserve"> 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>أهمية الفكر الإسلامي</w:t>
            </w: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 xml:space="preserve"> في حياة الإنسان.</w:t>
            </w:r>
          </w:p>
        </w:tc>
        <w:tc>
          <w:tcPr>
            <w:tcW w:w="2882" w:type="dxa"/>
            <w:vMerge w:val="restart"/>
            <w:vAlign w:val="center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الحوار والمناقشة.</w:t>
            </w:r>
          </w:p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المحاضرة.</w:t>
            </w:r>
          </w:p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>البحوث</w:t>
            </w:r>
          </w:p>
          <w:p w:rsidR="00AA7385" w:rsidRPr="00AA7385" w:rsidRDefault="00AA7385" w:rsidP="00AA7385">
            <w:pPr>
              <w:pBdr>
                <w:bar w:val="nil"/>
              </w:pBdr>
              <w:tabs>
                <w:tab w:val="left" w:pos="192"/>
              </w:tabs>
              <w:bidi/>
              <w:ind w:left="36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A738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A7385" w:rsidRPr="00E8014E" w:rsidRDefault="00AA7385" w:rsidP="00AA7385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9F15D6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73" w:type="dxa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>كون الطالب قادراً على توضيح</w:t>
            </w: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 xml:space="preserve"> المنهج العلمي في التفكير.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9F15D6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73" w:type="dxa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>كون الطالب قادراً على تسمية</w:t>
            </w: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 xml:space="preserve"> مقومات الفكر الإسلامي وخصائصه وتميزه عن غيره.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9F15D6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73" w:type="dxa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>كون الطالب قادراً على توضيح</w:t>
            </w: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 xml:space="preserve"> حقيقة التجديد في الفكر الإسلامي.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723D" w:rsidRPr="00E8014E" w:rsidTr="007B11D7">
        <w:tc>
          <w:tcPr>
            <w:tcW w:w="748" w:type="dxa"/>
          </w:tcPr>
          <w:p w:rsidR="00B8723D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73" w:type="dxa"/>
            <w:vAlign w:val="center"/>
          </w:tcPr>
          <w:p w:rsidR="00B8723D" w:rsidRDefault="00B8723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B8723D" w:rsidRPr="00E8014E" w:rsidRDefault="00B8723D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B8723D" w:rsidRPr="00074D80" w:rsidRDefault="00B8723D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AA7385" w:rsidRPr="00E8014E" w:rsidTr="007B11D7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73" w:type="dxa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اكتساب </w:t>
            </w: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 xml:space="preserve"> الآلية المنهجية في التفكير والاستدلال وتوظيفها في خدمة الفكر الإسلامي.</w:t>
            </w:r>
          </w:p>
        </w:tc>
        <w:tc>
          <w:tcPr>
            <w:tcW w:w="2882" w:type="dxa"/>
            <w:vMerge w:val="restart"/>
            <w:vAlign w:val="center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القراءة والاطلاع الشامل.</w:t>
            </w:r>
          </w:p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تكوين مجموعات عمل.</w:t>
            </w:r>
          </w:p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الحوار والمناقشة.</w:t>
            </w:r>
          </w:p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بحوث صغيرة.</w:t>
            </w:r>
          </w:p>
          <w:p w:rsidR="00AA7385" w:rsidRPr="00AA7385" w:rsidRDefault="00AA7385" w:rsidP="00AA7385">
            <w:pPr>
              <w:pBdr>
                <w:bar w:val="nil"/>
              </w:pBdr>
              <w:tabs>
                <w:tab w:val="left" w:pos="180"/>
              </w:tabs>
              <w:bidi/>
              <w:ind w:left="36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A7385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دراسة مقالات.</w:t>
            </w:r>
          </w:p>
        </w:tc>
        <w:tc>
          <w:tcPr>
            <w:tcW w:w="2857" w:type="dxa"/>
            <w:vAlign w:val="center"/>
          </w:tcPr>
          <w:p w:rsidR="00AA7385" w:rsidRPr="00E8014E" w:rsidRDefault="00AA7385" w:rsidP="00AA7385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AA7385" w:rsidRPr="00E8014E" w:rsidTr="007B11D7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73" w:type="dxa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70C0"/>
                <w:sz w:val="32"/>
                <w:szCs w:val="32"/>
                <w:lang w:val="en-US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التمييز </w:t>
            </w: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بين النزعات التجديدية في الفكر الإسلامي.</w:t>
            </w:r>
          </w:p>
        </w:tc>
        <w:tc>
          <w:tcPr>
            <w:tcW w:w="2882" w:type="dxa"/>
            <w:vMerge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73" w:type="dxa"/>
          </w:tcPr>
          <w:p w:rsidR="00AA7385" w:rsidRPr="00716003" w:rsidRDefault="00AA7385" w:rsidP="00AA7385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70C0"/>
                <w:sz w:val="32"/>
                <w:szCs w:val="32"/>
              </w:rPr>
            </w:pP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</w:t>
            </w:r>
            <w:r w:rsidRPr="00716003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lastRenderedPageBreak/>
              <w:t xml:space="preserve">على تطبيق </w:t>
            </w:r>
            <w:r w:rsidRPr="00716003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  <w:lang w:val="en-US"/>
              </w:rPr>
              <w:t>منهجية البحث العلمي عمليًا</w:t>
            </w:r>
          </w:p>
        </w:tc>
        <w:tc>
          <w:tcPr>
            <w:tcW w:w="2882" w:type="dxa"/>
            <w:vMerge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3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AA7385" w:rsidRPr="00E8014E" w:rsidTr="007B11D7">
        <w:tc>
          <w:tcPr>
            <w:tcW w:w="748" w:type="dxa"/>
            <w:vAlign w:val="center"/>
          </w:tcPr>
          <w:p w:rsidR="00AA7385" w:rsidRPr="003B42CB" w:rsidRDefault="00AA7385" w:rsidP="00AA738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العمل والتفاعل ضمن مجموعة.</w:t>
            </w:r>
          </w:p>
        </w:tc>
        <w:tc>
          <w:tcPr>
            <w:tcW w:w="2882" w:type="dxa"/>
            <w:vMerge w:val="restart"/>
          </w:tcPr>
          <w:p w:rsidR="00AA7385" w:rsidRPr="00253B0D" w:rsidRDefault="00AA7385" w:rsidP="00AA7385">
            <w:pPr>
              <w:numPr>
                <w:ilvl w:val="0"/>
                <w:numId w:val="16"/>
              </w:numPr>
              <w:bidi/>
              <w:ind w:left="360"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 w:hint="cs"/>
                <w:b/>
                <w:color w:val="0070C0"/>
                <w:sz w:val="32"/>
                <w:szCs w:val="32"/>
                <w:rtl/>
              </w:rPr>
              <w:t>التعليم التعاوني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.</w:t>
            </w:r>
          </w:p>
          <w:p w:rsidR="00AA7385" w:rsidRPr="00253B0D" w:rsidRDefault="00AA7385" w:rsidP="00AA7385">
            <w:pPr>
              <w:numPr>
                <w:ilvl w:val="0"/>
                <w:numId w:val="16"/>
              </w:numPr>
              <w:bidi/>
              <w:ind w:left="360"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الحوار والمناقشة المفتوحة.</w:t>
            </w:r>
          </w:p>
          <w:p w:rsidR="00AA7385" w:rsidRPr="00253B0D" w:rsidRDefault="00AA7385" w:rsidP="00AA7385">
            <w:pPr>
              <w:numPr>
                <w:ilvl w:val="0"/>
                <w:numId w:val="16"/>
              </w:numPr>
              <w:bidi/>
              <w:ind w:left="360"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 w:hint="cs"/>
                <w:b/>
                <w:color w:val="0070C0"/>
                <w:sz w:val="32"/>
                <w:szCs w:val="32"/>
                <w:rtl/>
              </w:rPr>
              <w:t>المناظرات</w:t>
            </w:r>
          </w:p>
          <w:p w:rsidR="00AA7385" w:rsidRPr="00253B0D" w:rsidRDefault="00AA7385" w:rsidP="00AA7385">
            <w:pPr>
              <w:pStyle w:val="af6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_إشراك الطلاب في المناشط الجماعية .</w:t>
            </w:r>
          </w:p>
          <w:p w:rsidR="00AA7385" w:rsidRPr="00253B0D" w:rsidRDefault="00AA7385" w:rsidP="00AA7385">
            <w:pPr>
              <w:pStyle w:val="af6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_تأليف فرق عمل لإنجاز التمارين المنزلية .</w:t>
            </w:r>
          </w:p>
          <w:p w:rsidR="00AA7385" w:rsidRPr="00253B0D" w:rsidRDefault="00AA7385" w:rsidP="00AA7385">
            <w:pPr>
              <w:pStyle w:val="-5"/>
              <w:rPr>
                <w:rFonts w:ascii="Traditional Arabic" w:hAnsi="Traditional Arabic" w:cs="Traditional Arabic"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_ تكليف الطلاب بالنظر في بعض المسائل ودراستها.</w:t>
            </w: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  <w:vAlign w:val="center"/>
          </w:tcPr>
          <w:p w:rsidR="00AA7385" w:rsidRPr="003B42CB" w:rsidRDefault="00AA7385" w:rsidP="00AA738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أن يكتسب الطالب القدرة على استخدام مهارة الاتصال.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  <w:vAlign w:val="center"/>
          </w:tcPr>
          <w:p w:rsidR="00AA7385" w:rsidRPr="003B42CB" w:rsidRDefault="00AA7385" w:rsidP="00AA738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التفاعل مع محيط القاعة.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  <w:vAlign w:val="center"/>
          </w:tcPr>
          <w:p w:rsidR="00AA7385" w:rsidRPr="003B42CB" w:rsidRDefault="00AA7385" w:rsidP="00AA738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قبول النقد والإفادة منه.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  <w:vAlign w:val="center"/>
          </w:tcPr>
          <w:p w:rsidR="00AA7385" w:rsidRPr="003B42CB" w:rsidRDefault="00AA7385" w:rsidP="00AA738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احترام الآخرين والتفاهم معهم.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  <w:vAlign w:val="center"/>
          </w:tcPr>
          <w:p w:rsidR="00AA7385" w:rsidRPr="003B42CB" w:rsidRDefault="00AA7385" w:rsidP="00AA738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pStyle w:val="ad"/>
              <w:bidi/>
              <w:ind w:left="360"/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تحمل </w:t>
            </w: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مسؤولية التعلم الذاتي, والبحث عن المعلومات الشخصية بهارة وتطوير الذات.</w:t>
            </w:r>
          </w:p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</w:pP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  <w:vAlign w:val="center"/>
          </w:tcPr>
          <w:p w:rsidR="00AA7385" w:rsidRPr="003B42CB" w:rsidRDefault="00AA7385" w:rsidP="00AA738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pStyle w:val="ad"/>
              <w:bidi/>
              <w:ind w:left="360"/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تحمل </w:t>
            </w: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مسؤولية جميع التكاليف والواجبات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12" w:type="dxa"/>
            <w:gridSpan w:val="3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AA7385" w:rsidRPr="00E8014E" w:rsidTr="00EE3B5C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الاستفادة العملية من التقنيات الحديثة عبر الشبكة المعلوماتية</w:t>
            </w:r>
          </w:p>
        </w:tc>
        <w:tc>
          <w:tcPr>
            <w:tcW w:w="2882" w:type="dxa"/>
            <w:vMerge w:val="restart"/>
            <w:vAlign w:val="center"/>
          </w:tcPr>
          <w:p w:rsidR="00AA7385" w:rsidRPr="00253B0D" w:rsidRDefault="00AA7385" w:rsidP="00AA7385">
            <w:pPr>
              <w:numPr>
                <w:ilvl w:val="0"/>
                <w:numId w:val="16"/>
              </w:numPr>
              <w:bidi/>
              <w:ind w:left="360"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البحث عن المادة العلمية وعرضها في القاعة.</w:t>
            </w:r>
          </w:p>
          <w:p w:rsidR="00AA7385" w:rsidRPr="00253B0D" w:rsidRDefault="00AA7385" w:rsidP="00AA7385">
            <w:pPr>
              <w:numPr>
                <w:ilvl w:val="0"/>
                <w:numId w:val="16"/>
              </w:numPr>
              <w:bidi/>
              <w:ind w:left="360"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 xml:space="preserve">عرض التجارب الشخصية في التواصل العلمي من خلال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lastRenderedPageBreak/>
              <w:t>الشبكة المعلوماتية.</w:t>
            </w:r>
          </w:p>
          <w:p w:rsidR="00AA7385" w:rsidRPr="00AA7385" w:rsidRDefault="00AA7385" w:rsidP="00AA7385">
            <w:pPr>
              <w:pStyle w:val="ad"/>
              <w:numPr>
                <w:ilvl w:val="0"/>
                <w:numId w:val="16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A7385">
              <w:rPr>
                <w:rFonts w:ascii="Traditional Arabic" w:hAnsi="Traditional Arabic" w:cs="Traditional Arabic" w:hint="cs"/>
                <w:b/>
                <w:color w:val="0070C0"/>
                <w:sz w:val="32"/>
                <w:szCs w:val="32"/>
                <w:rtl/>
              </w:rPr>
              <w:t>التكاليف والواجبات المؤداة عن طريق التقنية</w:t>
            </w:r>
            <w:bookmarkStart w:id="0" w:name="LastPosition"/>
            <w:bookmarkEnd w:id="0"/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AA7385" w:rsidRPr="00E8014E" w:rsidTr="007B11D7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 xml:space="preserve">التواصل العلمي مع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lastRenderedPageBreak/>
              <w:t>محيط الجامعة وغيره عبر الشبكة المعلوماتية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</w:tcPr>
          <w:p w:rsidR="00AA7385" w:rsidRPr="00857BFF" w:rsidRDefault="00AA7385" w:rsidP="00AA738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4.3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color w:val="0070C0"/>
                <w:sz w:val="32"/>
                <w:szCs w:val="32"/>
                <w:lang w:val="en-US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تقديم الواجبات من خلال وسائل التقنية الحديثة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AA7385" w:rsidRPr="00E8014E" w:rsidTr="007B11D7">
        <w:tc>
          <w:tcPr>
            <w:tcW w:w="748" w:type="dxa"/>
            <w:vAlign w:val="center"/>
          </w:tcPr>
          <w:p w:rsidR="00AA7385" w:rsidRPr="003B42CB" w:rsidRDefault="00AA7385" w:rsidP="00AA738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73" w:type="dxa"/>
          </w:tcPr>
          <w:p w:rsidR="00AA7385" w:rsidRPr="00253B0D" w:rsidRDefault="00AA7385" w:rsidP="00AA7385">
            <w:pPr>
              <w:bidi/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</w:rPr>
            </w:pPr>
            <w:r w:rsidRPr="00253B0D">
              <w:rPr>
                <w:rFonts w:ascii="Traditional Arabic" w:hAnsi="Traditional Arabic" w:cs="Traditional Arabic"/>
                <w:color w:val="0070C0"/>
                <w:sz w:val="32"/>
                <w:szCs w:val="32"/>
                <w:rtl/>
              </w:rPr>
              <w:t>أن ي</w:t>
            </w:r>
            <w:r w:rsidRPr="00253B0D">
              <w:rPr>
                <w:rFonts w:ascii="Traditional Arabic" w:hAnsi="Traditional Arabic" w:cs="Traditional Arabic" w:hint="cs"/>
                <w:color w:val="0070C0"/>
                <w:sz w:val="32"/>
                <w:szCs w:val="32"/>
                <w:rtl/>
              </w:rPr>
              <w:t xml:space="preserve">كون الطالب قادراً على </w:t>
            </w:r>
            <w:r w:rsidRPr="00253B0D">
              <w:rPr>
                <w:rFonts w:ascii="Traditional Arabic" w:hAnsi="Traditional Arabic" w:cs="Traditional Arabic"/>
                <w:b/>
                <w:color w:val="0070C0"/>
                <w:sz w:val="32"/>
                <w:szCs w:val="32"/>
                <w:rtl/>
              </w:rPr>
              <w:t>الاستفادة العملية من التقنيات الحديثة عبر الشبكة المعلوماتية</w:t>
            </w:r>
          </w:p>
        </w:tc>
        <w:tc>
          <w:tcPr>
            <w:tcW w:w="2882" w:type="dxa"/>
            <w:vMerge/>
          </w:tcPr>
          <w:p w:rsidR="00AA7385" w:rsidRPr="00E8014E" w:rsidRDefault="00AA7385" w:rsidP="00AA7385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AA7385" w:rsidRDefault="00AA7385" w:rsidP="00AA7385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BC175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Pr="00E8014E">
        <w:rPr>
          <w:rFonts w:ascii="Traditional Arabic" w:hAnsi="Traditional Arabic" w:cs="Traditional Arabic"/>
          <w:color w:val="FF0000"/>
          <w:rtl/>
        </w:rPr>
        <w:t>يمكن تحليل تقييم مستوى اكتساب الطلاب لكل مخرج تعليمي في المقرر من خلال تقييم نتائج أداء الطلاب باستخدام مؤشر أداء للمخرج التعليمي أو من خلال مقاييس التقدير الوصفي -روبركس (</w:t>
      </w:r>
      <w:r w:rsidRPr="00E8014E">
        <w:rPr>
          <w:rFonts w:ascii="Traditional Arabic" w:hAnsi="Traditional Arabic" w:cs="Traditional Arabic"/>
          <w:color w:val="FF0000"/>
          <w:lang w:val="en-US"/>
        </w:rPr>
        <w:t>rubrics</w:t>
      </w:r>
      <w:r w:rsidRPr="00E8014E">
        <w:rPr>
          <w:rFonts w:ascii="Traditional Arabic" w:hAnsi="Traditional Arabic" w:cs="Traditional Arabic"/>
          <w:color w:val="FF0000"/>
          <w:rtl/>
        </w:rPr>
        <w:t>) أو أي طريقة لاحتساب الدرجات بما يتناسب مع طبيعة الأعمال أو الاختبارات محل التقييم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839"/>
        <w:gridCol w:w="715"/>
        <w:gridCol w:w="3297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087AF0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توزيع موضوعات القاعه إلى مجموعات للمداخلة في كل موضوع</w:t>
            </w:r>
            <w:r w:rsidR="00E44CD5"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087AF0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حوار عام لجميع القاعة لمجموعات التحضير والإلقاء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إشرف </w:t>
            </w: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أستاذ المقرر على القاعه والتعليق على المادة العلميه وتوجيه الحوار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المحاضرة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القراءه والاطلاع الشامل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تكوين مجموعات عمل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والمناقشه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مجموعة التحضير والإلقاء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مجموعة المداخله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الجماعي المفتوح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البحثعن الماده العلميه وعرضها من خلال الشبكة المعلوماتيه في القاعه 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عرض التجارب الشخصيه في التواصل الثقافي من خلال الشبكة المعلوماتيه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التواصل بين أعضاء القاعه بعضهم البعض وبينهم وبين الاستاذ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  <w:bookmarkStart w:id="1" w:name="_GoBack"/>
      <w:bookmarkEnd w:id="1"/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الجامعة ،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EB" w:rsidRDefault="00CC04EB">
      <w:r>
        <w:separator/>
      </w:r>
    </w:p>
  </w:endnote>
  <w:endnote w:type="continuationSeparator" w:id="0">
    <w:p w:rsidR="00CC04EB" w:rsidRDefault="00CC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B0" w:rsidRPr="00E85FEB" w:rsidRDefault="00CF68B0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F68B0" w:rsidRDefault="00CF68B0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385" w:rsidRPr="00AA7385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CF68B0" w:rsidRPr="0094487B" w:rsidRDefault="00CF68B0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B0" w:rsidRPr="00BD314D" w:rsidRDefault="00CF68B0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F68B0" w:rsidRDefault="00CF68B0" w:rsidP="003A369E">
    <w:pPr>
      <w:pStyle w:val="a3"/>
      <w:bidi/>
    </w:pPr>
  </w:p>
  <w:p w:rsidR="00CF68B0" w:rsidRDefault="00CF68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EB" w:rsidRDefault="00CC04EB">
      <w:r>
        <w:separator/>
      </w:r>
    </w:p>
  </w:footnote>
  <w:footnote w:type="continuationSeparator" w:id="0">
    <w:p w:rsidR="00CC04EB" w:rsidRDefault="00CC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B0" w:rsidRDefault="00CF68B0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8B0" w:rsidRPr="00E9121F" w:rsidRDefault="00CF68B0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97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1B9A18F1"/>
    <w:multiLevelType w:val="hybridMultilevel"/>
    <w:tmpl w:val="9C5AC668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B30C47"/>
    <w:multiLevelType w:val="hybridMultilevel"/>
    <w:tmpl w:val="F7505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AF0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70BB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1D7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39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A33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385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23D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04EB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8B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08A53B-5817-42F8-946F-009BCA6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6">
    <w:name w:val="No Spacing"/>
    <w:uiPriority w:val="1"/>
    <w:qFormat/>
    <w:rsid w:val="00AA7385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CBF4A-421E-4951-8E35-4DBDAD4D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هند سعد عبدالرحمن ابوحيمد</cp:lastModifiedBy>
  <cp:revision>2</cp:revision>
  <cp:lastPrinted>2016-01-19T12:24:00Z</cp:lastPrinted>
  <dcterms:created xsi:type="dcterms:W3CDTF">2018-04-16T06:42:00Z</dcterms:created>
  <dcterms:modified xsi:type="dcterms:W3CDTF">2018-04-16T06:42:00Z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