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184562" w:rsidRPr="005D2DDD" w14:paraId="50F3F8F6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078F7195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250521F2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30"/>
                                      <w:szCs w:val="30"/>
                                    </w:rPr>
                                  </w:pPr>
                                  <w:r w:rsidRPr="003911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مناهج المفسرين واتجاهات التفسير</w:t>
                                  </w:r>
                                </w:p>
                              </w:tc>
                            </w:tr>
                            <w:tr w:rsidR="00184562" w:rsidRPr="005D2DDD" w14:paraId="697A3DEB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AA2CA1D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2307EB9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9117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6230</w:t>
                                  </w:r>
                                </w:p>
                              </w:tc>
                            </w:tr>
                            <w:tr w:rsidR="00184562" w:rsidRPr="005D2DDD" w14:paraId="461CEF6F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1A661DA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70496E0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184562" w:rsidRPr="005D2DDD" w14:paraId="2903C281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F1A49EB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E9298FC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184562" w:rsidRPr="005D2DDD" w14:paraId="676FCB6F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049A93B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74EDF227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184562" w:rsidRPr="005D2DDD" w14:paraId="0F2C02E8" w14:textId="77777777" w:rsidTr="0018456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6DC5889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E3D593D" w14:textId="77777777" w:rsidR="00184562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629527FD" w14:textId="77777777" w:rsidR="00184562" w:rsidRPr="005D2DDD" w:rsidRDefault="00184562" w:rsidP="0018456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184562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184562" w:rsidRPr="005D2DDD" w14:paraId="50F3F8F6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078F7195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250521F2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3911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مناهج المفسرين واتجاهات التفسير</w:t>
                            </w:r>
                          </w:p>
                        </w:tc>
                      </w:tr>
                      <w:tr w:rsidR="00184562" w:rsidRPr="005D2DDD" w14:paraId="697A3DEB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3AA2CA1D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2307EB9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911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6230</w:t>
                            </w:r>
                          </w:p>
                        </w:tc>
                      </w:tr>
                      <w:tr w:rsidR="00184562" w:rsidRPr="005D2DDD" w14:paraId="461CEF6F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1A661DA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70496E0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184562" w:rsidRPr="005D2DDD" w14:paraId="2903C281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F1A49EB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0E9298FC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184562" w:rsidRPr="005D2DDD" w14:paraId="676FCB6F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049A93B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74EDF227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184562" w:rsidRPr="005D2DDD" w14:paraId="0F2C02E8" w14:textId="77777777" w:rsidTr="0018456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46DC5889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0E3D593D" w14:textId="77777777" w:rsidR="00184562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629527FD" w14:textId="77777777" w:rsidR="00184562" w:rsidRPr="005D2DDD" w:rsidRDefault="00184562" w:rsidP="0018456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184562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056C93A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  <w:t>5</w:t>
            </w:r>
          </w:hyperlink>
        </w:p>
        <w:p w14:paraId="44A3C388" w14:textId="529DFCA4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599117F0" w14:textId="0D3375F1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2E5042BB" w14:textId="5EF9BAD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  <w:t>6</w:t>
            </w:r>
          </w:hyperlink>
        </w:p>
        <w:p w14:paraId="581CD307" w14:textId="138AD98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184562">
              <w:rPr>
                <w:rFonts w:hint="cs"/>
                <w:webHidden/>
                <w:rtl/>
              </w:rPr>
              <w:t>7</w:t>
            </w:r>
          </w:hyperlink>
        </w:p>
        <w:p w14:paraId="64D89E3D" w14:textId="14DC3998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184562">
              <w:rPr>
                <w:noProof/>
                <w:webHidden/>
              </w:rPr>
              <w:t>7</w:t>
            </w:r>
          </w:hyperlink>
        </w:p>
        <w:p w14:paraId="653B7D2C" w14:textId="3AED9CC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</w:r>
            <w:r w:rsidR="00184562">
              <w:rPr>
                <w:noProof/>
                <w:webHidden/>
              </w:rPr>
              <w:t>7</w:t>
            </w:r>
          </w:hyperlink>
        </w:p>
        <w:p w14:paraId="363DFA38" w14:textId="656166F5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02B50C24" w14:textId="7435CC0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0ECBBA3" w14:textId="40B05431" w:rsidR="00184562" w:rsidRPr="005D2DDD" w:rsidRDefault="00184562" w:rsidP="00184562">
      <w:pPr>
        <w:bidi/>
      </w:pPr>
    </w:p>
    <w:p w14:paraId="04E71C6F" w14:textId="77777777" w:rsidR="00184562" w:rsidRPr="005D2DDD" w:rsidRDefault="00184562" w:rsidP="00184562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184562" w:rsidRPr="005D2DDD" w14:paraId="5E831487" w14:textId="77777777" w:rsidTr="00184562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13A74FD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2AA6DD43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(3) ساعات</w:t>
            </w:r>
          </w:p>
        </w:tc>
      </w:tr>
      <w:tr w:rsidR="00184562" w:rsidRPr="005D2DDD" w14:paraId="4601E5F6" w14:textId="77777777" w:rsidTr="0018456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65B759EE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184562" w:rsidRPr="005D2DDD" w14:paraId="6E92DEEB" w14:textId="77777777" w:rsidTr="00184562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51DFFACA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A4EADB" w14:textId="77777777" w:rsidR="00184562" w:rsidRPr="00632FEE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501736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9D29460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8627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184562" w:rsidRPr="005D2DDD" w14:paraId="3301CB99" w14:textId="77777777" w:rsidTr="00184562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37ED87B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443AAF2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184562" w:rsidRPr="005D2DDD" w14:paraId="1A8073D3" w14:textId="77777777" w:rsidTr="0018456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6EC8392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184562" w:rsidRPr="005D2DDD" w14:paraId="7F805400" w14:textId="77777777" w:rsidTr="00184562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4CE81BD3" w14:textId="77777777" w:rsidR="00184562" w:rsidRPr="005041CE" w:rsidRDefault="00184562" w:rsidP="0018456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184562" w:rsidRPr="005D2DDD" w14:paraId="6345C89E" w14:textId="77777777" w:rsidTr="0018456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792388D8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184562" w:rsidRPr="005D2DDD" w14:paraId="14C826F4" w14:textId="77777777" w:rsidTr="00184562">
        <w:tc>
          <w:tcPr>
            <w:tcW w:w="9571" w:type="dxa"/>
            <w:gridSpan w:val="5"/>
            <w:tcBorders>
              <w:top w:val="nil"/>
            </w:tcBorders>
          </w:tcPr>
          <w:p w14:paraId="072E42DF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5D8B0C1F" w14:textId="77777777" w:rsidR="00184562" w:rsidRPr="00EF018C" w:rsidRDefault="00184562" w:rsidP="00184562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184562" w:rsidRPr="005D2DDD" w14:paraId="66D8DA43" w14:textId="77777777" w:rsidTr="00184562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A5CE4EB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8C6D52E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EECF5F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3A4DDAD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184562" w:rsidRPr="005D2DDD" w14:paraId="30A462CD" w14:textId="77777777" w:rsidTr="00184562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3A20D2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909E204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30A976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4E2174B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184562" w:rsidRPr="005D2DDD" w14:paraId="18D86A76" w14:textId="77777777" w:rsidTr="0018456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6F220C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79FC74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D6BCAB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610AD63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184562" w:rsidRPr="005D2DDD" w14:paraId="22860A9C" w14:textId="77777777" w:rsidTr="0018456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78ECE3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2486E5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57F581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C72286F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4562" w:rsidRPr="005D2DDD" w14:paraId="0F6321D8" w14:textId="77777777" w:rsidTr="0018456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51C5D0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1E6672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4D11DC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B2F4B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4562" w:rsidRPr="005D2DDD" w14:paraId="65BEC497" w14:textId="77777777" w:rsidTr="0018456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61DA1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7B923E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A60573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2BFE11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288BCB4" w14:textId="77777777" w:rsidR="00184562" w:rsidRPr="001710D2" w:rsidRDefault="00184562" w:rsidP="0018456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184562" w:rsidRPr="0019322E" w14:paraId="46F1DE18" w14:textId="77777777" w:rsidTr="00184562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2BC3C27" w14:textId="77777777" w:rsidR="00184562" w:rsidRPr="0019322E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A5C7A2F" w14:textId="77777777" w:rsidR="00184562" w:rsidRPr="0019322E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8C84AFE" w14:textId="77777777" w:rsidR="00184562" w:rsidRPr="0019322E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184562" w:rsidRPr="0019322E" w14:paraId="55C585EE" w14:textId="77777777" w:rsidTr="00184562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47E2272B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A057E67" w14:textId="77777777" w:rsidR="00184562" w:rsidRPr="000274EF" w:rsidRDefault="00184562" w:rsidP="0018456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4FCF10D4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184562" w:rsidRPr="0019322E" w14:paraId="60810A24" w14:textId="77777777" w:rsidTr="0018456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5AFF167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CCAC26" w14:textId="77777777" w:rsidR="00184562" w:rsidRPr="000274EF" w:rsidRDefault="00184562" w:rsidP="0018456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F4FC54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84562" w:rsidRPr="0019322E" w14:paraId="53A5BDE3" w14:textId="77777777" w:rsidTr="0018456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16EE8EF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AFB35" w14:textId="77777777" w:rsidR="00184562" w:rsidRPr="00632FEE" w:rsidRDefault="00184562" w:rsidP="0018456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FB3E6B0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</w:t>
            </w:r>
          </w:p>
        </w:tc>
      </w:tr>
      <w:tr w:rsidR="00184562" w:rsidRPr="0019322E" w14:paraId="377E6C75" w14:textId="77777777" w:rsidTr="0018456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872800A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BA6B98D" w14:textId="77777777" w:rsidR="00184562" w:rsidRPr="000274EF" w:rsidRDefault="00184562" w:rsidP="0018456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6293FB9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84562" w:rsidRPr="0019322E" w14:paraId="6D9ACFE1" w14:textId="77777777" w:rsidTr="00184562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8138C97" w14:textId="77777777" w:rsidR="00184562" w:rsidRPr="009B0DDB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105264A" w14:textId="77777777" w:rsidR="00184562" w:rsidRPr="000274EF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36</w:t>
            </w:r>
          </w:p>
        </w:tc>
      </w:tr>
    </w:tbl>
    <w:p w14:paraId="6725D343" w14:textId="77777777" w:rsidR="00184562" w:rsidRDefault="00184562" w:rsidP="0018456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1269A2A" w14:textId="77777777" w:rsidR="00184562" w:rsidRPr="005D2DDD" w:rsidRDefault="00184562" w:rsidP="00184562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184562" w:rsidRPr="005D2DDD" w14:paraId="5B328C0D" w14:textId="77777777" w:rsidTr="00184562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F51B85" w14:textId="77777777" w:rsidR="00184562" w:rsidRPr="005C735D" w:rsidRDefault="00184562" w:rsidP="00184562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462D8420" w14:textId="77777777" w:rsidR="00184562" w:rsidRPr="00B041C8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8"/>
                <w:rtl/>
                <w:lang w:bidi="ar-EG"/>
              </w:rPr>
            </w:pPr>
            <w:r w:rsidRPr="005041C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يحتوي هذا</w:t>
            </w:r>
            <w:r w:rsidRPr="005041CE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 المقرر </w:t>
            </w:r>
            <w:r w:rsidRPr="005041C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على </w:t>
            </w:r>
            <w:r w:rsidRPr="005041CE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تعريف الطالب بمقدمات تعريفية لمناهج المفسرين مفرداً ومركباً، ونشأته، ومراحل تطوره، وأشهر الكتب التي ألفت فيه، </w:t>
            </w:r>
            <w:r w:rsidRPr="005041C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كما يتضمن تعريفاً بأساليب التفسير، وعرضاً مفصلاً لأبرز اتجاهات التفسير مع دراسة لأبرز الكتب المؤلفة في هذه الاتجاهات.</w:t>
            </w:r>
          </w:p>
        </w:tc>
      </w:tr>
      <w:tr w:rsidR="00184562" w:rsidRPr="005D2DDD" w14:paraId="0368DBE2" w14:textId="77777777" w:rsidTr="00184562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33B30D" w14:textId="77777777" w:rsidR="00184562" w:rsidRPr="00E115D6" w:rsidRDefault="00184562" w:rsidP="00184562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>الهدف الرئيس للمقرر</w:t>
            </w:r>
            <w:r w:rsidRPr="005D2DDD">
              <w:rPr>
                <w:rtl/>
              </w:rPr>
              <w:t xml:space="preserve"> </w:t>
            </w:r>
          </w:p>
        </w:tc>
      </w:tr>
      <w:tr w:rsidR="00184562" w:rsidRPr="005D2DDD" w14:paraId="604BE2CC" w14:textId="77777777" w:rsidTr="00184562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1EA1" w14:textId="77777777" w:rsidR="00184562" w:rsidRPr="005D2DDD" w:rsidRDefault="00184562" w:rsidP="0018456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rtl/>
              </w:rPr>
              <w:t xml:space="preserve">  </w:t>
            </w:r>
            <w:r w:rsidRPr="005041C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يهدف المقرر أ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ن يلم الدراس بأبرز مناهج المفسرين</w:t>
            </w:r>
            <w:r w:rsidRPr="005041C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واتجاهات التفسير، وأن يدرس مناهج التفاسير المؤلفة وفق هذه الاتجاهات، ويتوجه بالنقد للاتجاهات المنحرفة في التفسير</w:t>
            </w:r>
            <w:r w:rsidRPr="009B2FC8">
              <w:rPr>
                <w:rFonts w:asciiTheme="majorBidi" w:hAnsiTheme="majorBidi" w:cstheme="majorBidi" w:hint="cs"/>
                <w:b/>
                <w:bCs/>
                <w:color w:val="323E4F" w:themeColor="text2" w:themeShade="BF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5A48A3EB" w14:textId="77777777" w:rsidR="00184562" w:rsidRPr="005D2DDD" w:rsidRDefault="00184562" w:rsidP="00184562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584"/>
        <w:gridCol w:w="1384"/>
      </w:tblGrid>
      <w:tr w:rsidR="00184562" w:rsidRPr="005D2DDD" w14:paraId="5E9EF2AE" w14:textId="77777777" w:rsidTr="00184562">
        <w:trPr>
          <w:tblHeader/>
          <w:jc w:val="center"/>
        </w:trPr>
        <w:tc>
          <w:tcPr>
            <w:tcW w:w="81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FC5593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0FC93EF" w14:textId="77777777" w:rsidR="00184562" w:rsidRPr="006A3DE9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4C40274" w14:textId="77777777" w:rsidR="00184562" w:rsidRPr="00E116C0" w:rsidRDefault="00184562" w:rsidP="0018456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184562" w:rsidRPr="005D2DDD" w14:paraId="764E1961" w14:textId="77777777" w:rsidTr="0018456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2D0F58D" w14:textId="77777777" w:rsidR="00184562" w:rsidRPr="00B4292A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5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7568CAC2" w14:textId="77777777" w:rsidR="00184562" w:rsidRPr="00E02FB7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0375895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184562" w:rsidRPr="005D2DDD" w14:paraId="256793F5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D30827E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90AF71D" w14:textId="77777777" w:rsidR="00184562" w:rsidRPr="00B041C8" w:rsidRDefault="00184562" w:rsidP="00184562">
            <w:pPr>
              <w:bidi/>
              <w:jc w:val="lowKashida"/>
              <w:rPr>
                <w:rFonts w:ascii="Traditional Arabic" w:hAnsi="Traditional Arabic" w:cs="Traditional Arabic"/>
                <w:bCs/>
                <w:sz w:val="32"/>
                <w:szCs w:val="32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يلم الدارس بمناهج المفسرين وأبرز اتجاهات التفسير وأساليبه، وطرق البحث فيها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B6D71E" w14:textId="77777777" w:rsidR="00184562" w:rsidRPr="009B2F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184562" w:rsidRPr="005D2DDD" w14:paraId="7CF0E7DE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A3F3CD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9CCB21F" w14:textId="77777777" w:rsidR="00184562" w:rsidRPr="00B4292A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يحدد الدارس اتجاهات التأليف في التفسير في العصر الحديث.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CDA4760" w14:textId="77777777" w:rsidR="00184562" w:rsidRPr="00B041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184562" w:rsidRPr="005D2DDD" w14:paraId="02D71A2C" w14:textId="77777777" w:rsidTr="0018456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0FC201E" w14:textId="77777777" w:rsidR="00184562" w:rsidRPr="00E02FB7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5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368EB1A" w14:textId="77777777" w:rsidR="00184562" w:rsidRPr="00E02FB7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013DF" w14:textId="77777777" w:rsidR="00184562" w:rsidRPr="00B4292A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4562" w:rsidRPr="005D2DDD" w14:paraId="440FBEE3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13BA64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CE24ED8" w14:textId="77777777" w:rsidR="00184562" w:rsidRPr="00B4292A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يطبق الدارس مهاراته العلمية والبحثية في دراسة أمهات كتب التفسير وبيان مناهجها وأساليبها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F78E02" w14:textId="77777777" w:rsidR="00184562" w:rsidRPr="00B041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184562" w:rsidRPr="005D2DDD" w14:paraId="4625AC84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1AF457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41C7A55" w14:textId="77777777" w:rsidR="00184562" w:rsidRPr="00B4292A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أن يقارن الدارس بين كتب التفسير ومناهجها </w:t>
            </w:r>
            <w:proofErr w:type="spellStart"/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متوصلا</w:t>
            </w:r>
            <w:proofErr w:type="spellEnd"/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بتلك المقارنة إلى التمييز بينها وبيان منزلتها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8DE8B9" w14:textId="77777777" w:rsidR="00184562" w:rsidRPr="00B041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184562" w:rsidRPr="005D2DDD" w14:paraId="13B3875A" w14:textId="77777777" w:rsidTr="0018456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E581D58" w14:textId="77777777" w:rsidR="00184562" w:rsidRPr="00E02FB7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5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56A8733" w14:textId="77777777" w:rsidR="00184562" w:rsidRPr="00E02FB7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D154EA" w14:textId="77777777" w:rsidR="00184562" w:rsidRPr="00B4292A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4562" w:rsidRPr="005D2DDD" w14:paraId="7E7E3684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5C4236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3650C81" w14:textId="77777777" w:rsidR="00184562" w:rsidRPr="00B4292A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تمثل النزاهة العلمية</w:t>
            </w:r>
            <w:r w:rsidRPr="00B041C8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 والالتزام بالقيم الأخلاقية العالية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في نقد المؤلفات والمناهج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9D6025" w14:textId="77777777" w:rsidR="00184562" w:rsidRPr="00B041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184562" w:rsidRPr="005D2DDD" w14:paraId="14CB84AE" w14:textId="77777777" w:rsidTr="0018456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FE664E" w14:textId="77777777" w:rsidR="00184562" w:rsidRPr="00B4292A" w:rsidRDefault="00184562" w:rsidP="0018456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5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CA79E06" w14:textId="77777777" w:rsidR="00184562" w:rsidRPr="00B041C8" w:rsidRDefault="00184562" w:rsidP="00184562">
            <w:pPr>
              <w:bidi/>
              <w:jc w:val="lowKashida"/>
              <w:rPr>
                <w:rFonts w:asciiTheme="majorBidi" w:hAnsiTheme="majorBidi" w:cstheme="majorBidi"/>
                <w:bCs/>
              </w:rPr>
            </w:pPr>
            <w:r w:rsidRPr="00B041C8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التَصَرُّفُ بمسؤولية في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العمل مع الفرق البحثية العلمية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65FDEE" w14:textId="77777777" w:rsidR="00184562" w:rsidRPr="00B041C8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</w:tbl>
    <w:p w14:paraId="5EADCC4B" w14:textId="77777777" w:rsidR="00184562" w:rsidRPr="005D2DDD" w:rsidRDefault="00184562" w:rsidP="0018456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4C834538" w14:textId="77777777" w:rsidR="00184562" w:rsidRPr="00E40585" w:rsidRDefault="00184562" w:rsidP="00184562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184562" w:rsidRPr="005D2DDD" w14:paraId="22CA74F5" w14:textId="77777777" w:rsidTr="00184562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303455E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F8900B1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5EC3C1A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184562" w:rsidRPr="005D2DDD" w14:paraId="658B4458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F5A7BB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08AC6" w14:textId="77777777" w:rsidR="00184562" w:rsidRDefault="00184562" w:rsidP="00184562">
            <w:pPr>
              <w:bidi/>
              <w:jc w:val="lowKashida"/>
              <w:rPr>
                <w:rFonts w:asciiTheme="majorBidi" w:hAnsiTheme="majorBidi"/>
                <w:rtl/>
              </w:rPr>
            </w:pPr>
          </w:p>
          <w:p w14:paraId="23489F9B" w14:textId="77777777" w:rsidR="00184562" w:rsidRPr="00C95EEE" w:rsidRDefault="00184562" w:rsidP="001845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95E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التعريف بمناهج المفسرين، نشأته، وتطوره، أهميته، طرق معرفة مناهج المفسرين، المؤلفات في علم مناهج المفسرين</w:t>
            </w:r>
          </w:p>
          <w:p w14:paraId="341FB056" w14:textId="77777777" w:rsidR="00184562" w:rsidRPr="008913C5" w:rsidRDefault="00184562" w:rsidP="00184562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C95E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الفرق بين مناهج المفسرين،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وطبقات المفسرين، واتجاهات التفسير.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BCA178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433A1A36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C9D650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2F7596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تطور التفسير، ومعالم كل مرحلة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وخصائص التفسير فيها:</w:t>
            </w:r>
          </w:p>
          <w:p w14:paraId="63BEA9A5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أ-عصر ما قبل التدوين، </w:t>
            </w:r>
            <w:proofErr w:type="gramStart"/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ويشمل :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عصر النبوة-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عصر الصحابة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-أوائل عصر التابعين.</w:t>
            </w:r>
          </w:p>
          <w:p w14:paraId="247F1AF3" w14:textId="77777777" w:rsidR="00184562" w:rsidRPr="00E77B22" w:rsidRDefault="00184562" w:rsidP="00184562">
            <w:pPr>
              <w:bidi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عصر التدوين.</w:t>
            </w:r>
            <w:r w:rsidRPr="00E77B2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أشهر المفسرين في هذا العصر ودراسة منهجهم في التفسير: </w:t>
            </w:r>
          </w:p>
          <w:p w14:paraId="3B39A75B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77B2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(مقاتل بن سليمان – سفيان الثوري – يحيى بن سلام).</w:t>
            </w:r>
          </w:p>
          <w:p w14:paraId="2DD6280D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-عصر التطور والازدهار (العصر الذهبي).</w:t>
            </w:r>
          </w:p>
          <w:p w14:paraId="0BCB33F9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-عصر الركود والانحسار.</w:t>
            </w:r>
          </w:p>
          <w:p w14:paraId="0D95823F" w14:textId="77777777" w:rsidR="00184562" w:rsidRPr="008913C5" w:rsidRDefault="00184562" w:rsidP="00184562">
            <w:pPr>
              <w:bidi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</w:t>
            </w:r>
            <w:r w:rsidRPr="00066A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-العصر الحديث.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B25380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5D13B7AB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0C52C0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CF4E05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أساليب التفسير: التحليلي، الإجمالي، المقارن، الموضوعي، نماذج منها _ باختصار_ وتطبيقات عملية.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F0C71F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2DDD9C88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79F8EE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4FAC2F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اتجاهات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التفسير :</w:t>
            </w:r>
            <w:proofErr w:type="gramEnd"/>
          </w:p>
          <w:p w14:paraId="3D8D6C3A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أولاً 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الاتجاه الأثري ( التفسير بالمأثور )</w:t>
            </w:r>
          </w:p>
          <w:p w14:paraId="757DCF26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المراد به، نشأته وتطوره، أنواعه، ومصادره.</w:t>
            </w:r>
          </w:p>
          <w:p w14:paraId="7680DC16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دراسة منهجية 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أشهر المؤلفات فيه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883ECA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25F4D581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CADC62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5604F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ثانياً 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الاتجاه اللغوي:</w:t>
            </w:r>
          </w:p>
          <w:p w14:paraId="3FFCA631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المراد به، نشأته وتطوره، أنواعه ومجالاته، ومصادره.</w:t>
            </w:r>
          </w:p>
          <w:p w14:paraId="5A808A6E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دراسة منهجية لأهم الكتب فيه:</w:t>
            </w:r>
          </w:p>
          <w:p w14:paraId="104B75A1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أ_المصادر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المعتنية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بالمفردات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39EC68E5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3D80F701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ب_ المصادر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المعتنية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بالنحو والإعراب.</w:t>
            </w:r>
          </w:p>
          <w:p w14:paraId="1790A4BA" w14:textId="77777777" w:rsidR="00184562" w:rsidRPr="00066A4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ج_ المصادر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المعتنية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بالأساليب البلاغية.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0C325D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184562" w:rsidRPr="005D2DDD" w14:paraId="1F98FE72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AF86C9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D2AD74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ثالثاً: الاتجاه الفقهي: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تفسير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آيات الأحكام):</w:t>
            </w:r>
          </w:p>
          <w:p w14:paraId="11550C37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 المراد به، نشأته وتطوره، وأسباب ظهوره، قيمته وأثره</w:t>
            </w:r>
          </w:p>
          <w:p w14:paraId="06C261FE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أبرز المؤلفات فيه، مقارنة بين التفاسير الفقهية المتقدمة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والمعاصرة.(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أبرز جوانب الاتفاق والاختلاف)</w:t>
            </w:r>
          </w:p>
          <w:p w14:paraId="6A35EFBD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دراسة منهجية لعدد من التفاسير بحسب المذاهب الفقهية.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3B14C8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3</w:t>
            </w:r>
          </w:p>
        </w:tc>
      </w:tr>
      <w:tr w:rsidR="00184562" w:rsidRPr="005D2DDD" w14:paraId="27486282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662152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7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1932B0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رابعاً: الاتجاه العلمي:</w:t>
            </w:r>
          </w:p>
          <w:p w14:paraId="69BA52FE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المراد به، أسباب نشأته. موقف العلماء منه.</w:t>
            </w:r>
          </w:p>
          <w:p w14:paraId="2C0EB7EF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الفرق بين الإعجاز العلمي والتفسير العلمي</w:t>
            </w:r>
          </w:p>
          <w:p w14:paraId="4BB3279C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دراسة منهجية لبعض التفاسير.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037911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59063B15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F7ED32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535415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خامساً: الاتجاه الإشاري:</w:t>
            </w:r>
          </w:p>
          <w:p w14:paraId="1FCD76F5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المراد به، وأنواعه، وشروطه، وموقف العلماء منه.</w:t>
            </w:r>
          </w:p>
          <w:p w14:paraId="285959DD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دراسة منهجية لبعض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التفاسير .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D94A5B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4F4C62E0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156D0B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9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0525B9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سادساً 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الاتجاه الاجتماعي:</w:t>
            </w:r>
          </w:p>
          <w:p w14:paraId="6485052B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المراد به، أسباب نشأته، أبرز ملامحه.</w:t>
            </w:r>
          </w:p>
          <w:p w14:paraId="5E243017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دراسة منهجية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لبعض  التفاسير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55CAA8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184562" w:rsidRPr="005D2DDD" w14:paraId="7D0A9FC7" w14:textId="77777777" w:rsidTr="0018456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7A0F08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10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9F6FB6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سابعاً: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الاتجاهات المنحرفة في التفسير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08D6FBB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4652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تعريف التحريف، والفرق بينه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وبين التأويل، والخطأ في التفسير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7D04583C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4652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أسباب التحريف في التفسير، وآثا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ره، مجالات التحريف في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التفسير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2AB9E704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4652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أبرز المؤلفات في التفسير ذات الاتجاه </w:t>
            </w:r>
            <w:proofErr w:type="gramStart"/>
            <w:r w:rsidRPr="00F4652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المنحرف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38E0499D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أ_ تفاسير الشيعة.</w:t>
            </w:r>
          </w:p>
          <w:p w14:paraId="0F74D89D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ب_ تفاسير المعتزلة.</w:t>
            </w:r>
          </w:p>
          <w:p w14:paraId="10A6CAF1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ج_ تفاسير غلاة الصوفية.</w:t>
            </w:r>
          </w:p>
          <w:p w14:paraId="69C43319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د_ تفاسير الخوارج.</w:t>
            </w:r>
          </w:p>
          <w:p w14:paraId="26E94516" w14:textId="77777777" w:rsidR="00184562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ه_ تفاسير المدرسة العقلية الحديثة.</w:t>
            </w:r>
          </w:p>
          <w:p w14:paraId="5E0C3242" w14:textId="77777777" w:rsidR="00184562" w:rsidRPr="00C95EEE" w:rsidRDefault="00184562" w:rsidP="00184562">
            <w:pPr>
              <w:bidi/>
              <w:jc w:val="mediumKashida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و_ التفسير الحداثي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القراءات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المعاصرة للقرآن الكريم)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102F1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184562" w:rsidRPr="005D2DDD" w14:paraId="005A12C7" w14:textId="77777777" w:rsidTr="00184562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BA09965" w14:textId="77777777" w:rsidR="00184562" w:rsidRPr="006A374B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9742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36</w:t>
            </w:r>
          </w:p>
        </w:tc>
      </w:tr>
    </w:tbl>
    <w:p w14:paraId="1A8F13AB" w14:textId="77777777" w:rsidR="00184562" w:rsidRPr="005D2DDD" w:rsidRDefault="00184562" w:rsidP="00184562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7DF24383" w14:textId="77777777" w:rsidR="00184562" w:rsidRPr="005D2DDD" w:rsidRDefault="00184562" w:rsidP="00184562">
      <w:pPr>
        <w:pStyle w:val="1"/>
      </w:pPr>
      <w:r w:rsidRPr="005D2DDD">
        <w:rPr>
          <w:rtl/>
        </w:rPr>
        <w:t>د. التدريس والتقييم:</w:t>
      </w:r>
    </w:p>
    <w:p w14:paraId="5214F03B" w14:textId="77777777" w:rsidR="00184562" w:rsidRPr="005D2DDD" w:rsidRDefault="00184562" w:rsidP="00184562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6"/>
        <w:gridCol w:w="2268"/>
        <w:gridCol w:w="2093"/>
      </w:tblGrid>
      <w:tr w:rsidR="00184562" w:rsidRPr="005D2DDD" w14:paraId="187A36B9" w14:textId="77777777" w:rsidTr="00184562">
        <w:trPr>
          <w:trHeight w:val="401"/>
          <w:tblHeader/>
          <w:jc w:val="center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50EC37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382B939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9087EDF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5F80F93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84562" w:rsidRPr="005D2DDD" w14:paraId="2607E0EC" w14:textId="77777777" w:rsidTr="00184562">
        <w:trPr>
          <w:jc w:val="center"/>
        </w:trPr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921327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89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F57EA2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84562" w:rsidRPr="005D2DDD" w14:paraId="25015F91" w14:textId="77777777" w:rsidTr="00184562">
        <w:trPr>
          <w:jc w:val="center"/>
        </w:trPr>
        <w:tc>
          <w:tcPr>
            <w:tcW w:w="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4C8FEF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</w:tcPr>
          <w:p w14:paraId="6F3A8143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يلم الدارس بمناهج المفسرين وأبرز اتجاهات التفسير وأساليبه، وطرق البحث فيها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7DE572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22D814DE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المناقشة والحوار</w:t>
            </w:r>
          </w:p>
          <w:p w14:paraId="56A542F1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الخرائط التعليمية</w:t>
            </w:r>
          </w:p>
          <w:p w14:paraId="1D05FD88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09DC060E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E0EAAD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4797D367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2695E71E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أسئلة المناقشة والحوار</w:t>
            </w:r>
          </w:p>
          <w:p w14:paraId="5FD0356D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التكاليف الصفية</w:t>
            </w:r>
          </w:p>
          <w:p w14:paraId="519E7408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الواجبات المنزلية</w:t>
            </w:r>
          </w:p>
          <w:p w14:paraId="46D64427" w14:textId="77777777" w:rsidR="00184562" w:rsidRPr="006E7259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البحوث القصيرة</w:t>
            </w:r>
          </w:p>
        </w:tc>
      </w:tr>
      <w:tr w:rsidR="00184562" w:rsidRPr="005D2DDD" w14:paraId="57ACF04E" w14:textId="77777777" w:rsidTr="00184562">
        <w:trPr>
          <w:jc w:val="center"/>
        </w:trPr>
        <w:tc>
          <w:tcPr>
            <w:tcW w:w="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BBF785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138BDA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يحدد الدارس اتجاهات التأليف في التفسير في العصر الحديث.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E8D834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1DBB0A99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المناقشة والحوار</w:t>
            </w:r>
          </w:p>
          <w:p w14:paraId="2B9262E7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29E91129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44122E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677A6911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5E1DA2D7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أسئلة المناقشة والحوار</w:t>
            </w:r>
          </w:p>
          <w:p w14:paraId="31FD0100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التكاليف الصفية</w:t>
            </w:r>
          </w:p>
          <w:p w14:paraId="521C303F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الواجبات المنزلية</w:t>
            </w:r>
          </w:p>
          <w:p w14:paraId="1E73B329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</w:tc>
      </w:tr>
      <w:tr w:rsidR="00184562" w:rsidRPr="005D2DDD" w14:paraId="13BB9E49" w14:textId="77777777" w:rsidTr="00184562">
        <w:trPr>
          <w:jc w:val="center"/>
        </w:trPr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8BB3F5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89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838CC1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184562" w:rsidRPr="005D2DDD" w14:paraId="33B955CE" w14:textId="77777777" w:rsidTr="00184562">
        <w:trPr>
          <w:jc w:val="center"/>
        </w:trPr>
        <w:tc>
          <w:tcPr>
            <w:tcW w:w="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B405A7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</w:tcPr>
          <w:p w14:paraId="584994CF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أن يطبق الدارس مهاراته العلمية والبحثية في دراسة أمهات كتب التفسير وبيان مناهجها وأساليبها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DEAB6F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0E6379D3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 xml:space="preserve">المناقشة والحوار </w:t>
            </w:r>
            <w:r>
              <w:rPr>
                <w:rFonts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1945457B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الاستقصاء</w:t>
            </w:r>
          </w:p>
          <w:p w14:paraId="11875182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14:paraId="0F4EA931" w14:textId="77777777" w:rsidR="00184562" w:rsidRPr="006E7259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BD82C8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1C4F2586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العملية</w:t>
            </w:r>
          </w:p>
          <w:p w14:paraId="235F4A9E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19BE4713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</w:tc>
      </w:tr>
      <w:tr w:rsidR="00184562" w:rsidRPr="005D2DDD" w14:paraId="71FDBA9F" w14:textId="77777777" w:rsidTr="00184562">
        <w:trPr>
          <w:jc w:val="center"/>
        </w:trPr>
        <w:tc>
          <w:tcPr>
            <w:tcW w:w="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1D98A0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751554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أن يقارن الدارس بين كتب التفسير ومناهجها </w:t>
            </w:r>
            <w:proofErr w:type="spellStart"/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متوصلا</w:t>
            </w:r>
            <w:proofErr w:type="spellEnd"/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بتلك المقارنة إلى التمييز بينها وبيان منزلتها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C0243C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163B0125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 xml:space="preserve">المناقشة والحوار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70A798EB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14:paraId="68A25D37" w14:textId="77777777" w:rsidR="00184562" w:rsidRPr="006E7259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EEBE9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7E0D16D1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الاختبارات العملية</w:t>
            </w:r>
          </w:p>
          <w:p w14:paraId="57315393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1A600DCA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</w:tc>
      </w:tr>
      <w:tr w:rsidR="00184562" w:rsidRPr="005D2DDD" w14:paraId="2D4D1C7E" w14:textId="77777777" w:rsidTr="00184562">
        <w:trPr>
          <w:jc w:val="center"/>
        </w:trPr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DED6777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89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A703E5" w14:textId="77777777" w:rsidR="00184562" w:rsidRPr="005D2DDD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184562" w:rsidRPr="005D2DDD" w14:paraId="7C831BEA" w14:textId="77777777" w:rsidTr="00184562">
        <w:trPr>
          <w:jc w:val="center"/>
        </w:trPr>
        <w:tc>
          <w:tcPr>
            <w:tcW w:w="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4ADF60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</w:tcPr>
          <w:p w14:paraId="0D6811F0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تمثل النزاهة العلمية</w:t>
            </w:r>
            <w:r w:rsidRPr="00B041C8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 والالتزام بالقيم الأخلاقية العالية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في نقد المؤلفات والمناهج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84D02C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14:paraId="3E330A5E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47217EA8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04C9F2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31C43DBA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5080E94D" w14:textId="77777777" w:rsidR="00184562" w:rsidRPr="006E7259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</w:tc>
      </w:tr>
      <w:tr w:rsidR="00184562" w:rsidRPr="005D2DDD" w14:paraId="27C9D5F3" w14:textId="77777777" w:rsidTr="00184562">
        <w:trPr>
          <w:jc w:val="center"/>
        </w:trPr>
        <w:tc>
          <w:tcPr>
            <w:tcW w:w="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2E441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B8261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041C8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التَصَرُّفُ بمسؤولية في </w:t>
            </w:r>
            <w:r w:rsidRPr="00B041C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العمل مع الفرق البحثية العلمية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5AB3C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14:paraId="0A572180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4BACD2FD" w14:textId="77777777" w:rsidR="00184562" w:rsidRPr="00DE07AD" w:rsidRDefault="00184562" w:rsidP="0018456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27032F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33B202A8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4F1CC60A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  <w:p w14:paraId="1DE653C3" w14:textId="77777777" w:rsidR="00184562" w:rsidRPr="00F50311" w:rsidRDefault="00184562" w:rsidP="001845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50311">
              <w:rPr>
                <w:color w:val="000000" w:themeColor="text1"/>
                <w:sz w:val="28"/>
                <w:szCs w:val="28"/>
                <w:rtl/>
              </w:rPr>
              <w:t>ملف الإنجاز</w:t>
            </w:r>
          </w:p>
          <w:p w14:paraId="2828296C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218A39" w14:textId="77777777" w:rsidR="00184562" w:rsidRPr="005D2DDD" w:rsidRDefault="00184562" w:rsidP="00184562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184562" w:rsidRPr="005D2DDD" w14:paraId="4EED2A36" w14:textId="77777777" w:rsidTr="00184562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2C04FFF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6C9D8AE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88A6C8C" w14:textId="77777777" w:rsidR="00184562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1172E877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04CDA27" w14:textId="77777777" w:rsidR="00184562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1F59B122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84562" w:rsidRPr="005D2DDD" w14:paraId="44C7142C" w14:textId="77777777" w:rsidTr="00184562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793F11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756D21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E871DE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4651442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184562" w:rsidRPr="005D2DDD" w14:paraId="5D2CEB92" w14:textId="77777777" w:rsidTr="0018456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DC0EA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BE9E2F" w14:textId="77777777" w:rsidR="00184562" w:rsidRPr="008B26DE" w:rsidRDefault="00184562" w:rsidP="00184562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الشفوية</w:t>
            </w:r>
          </w:p>
          <w:p w14:paraId="1AC74E5D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15FEBA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5DA2792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184562" w:rsidRPr="005D2DDD" w14:paraId="7707DF31" w14:textId="77777777" w:rsidTr="0018456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563095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929739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C05068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D9726E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184562" w:rsidRPr="005D2DDD" w14:paraId="3AA69288" w14:textId="77777777" w:rsidTr="0018456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0A571C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BC8DD6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9A1B37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12E9F7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184562" w:rsidRPr="005D2DDD" w14:paraId="7FB7B93D" w14:textId="77777777" w:rsidTr="0018456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50312B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7AF638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4493A4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FE0D77D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184562" w:rsidRPr="005D2DDD" w14:paraId="01E11D70" w14:textId="77777777" w:rsidTr="0018456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4A4967" w14:textId="77777777" w:rsidR="00184562" w:rsidRPr="009D1E6C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EED228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0104ED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D26BB02" w14:textId="77777777" w:rsidR="00184562" w:rsidRPr="00DE07AD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40%</w:t>
            </w:r>
          </w:p>
        </w:tc>
      </w:tr>
    </w:tbl>
    <w:p w14:paraId="3432FFC5" w14:textId="77777777" w:rsidR="00184562" w:rsidRPr="007648F8" w:rsidRDefault="00184562" w:rsidP="0018456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38AF73F" w14:textId="77777777" w:rsidR="00184562" w:rsidRPr="005D2DDD" w:rsidRDefault="00184562" w:rsidP="0018456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53BEBBA" w14:textId="77777777" w:rsidR="00184562" w:rsidRPr="005D2DDD" w:rsidRDefault="00184562" w:rsidP="0018456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06CF0F1F" w14:textId="77777777" w:rsidR="00184562" w:rsidRPr="005D2DDD" w:rsidRDefault="00184562" w:rsidP="00184562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84562" w:rsidRPr="005D2DDD" w14:paraId="5661A759" w14:textId="77777777" w:rsidTr="00184562">
        <w:trPr>
          <w:trHeight w:val="1298"/>
          <w:jc w:val="center"/>
        </w:trPr>
        <w:tc>
          <w:tcPr>
            <w:tcW w:w="9571" w:type="dxa"/>
          </w:tcPr>
          <w:p w14:paraId="5083D5DA" w14:textId="77777777" w:rsidR="00184562" w:rsidRPr="008B26DE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 xml:space="preserve">تحديد ساعات مكتبية لمقابلة الطلاب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6CAFF1DF" w14:textId="77777777" w:rsidR="00184562" w:rsidRPr="008B26DE" w:rsidRDefault="00184562" w:rsidP="00184562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تفعيل التقارير الدورية ومتابعة نتائجها.</w:t>
            </w:r>
          </w:p>
          <w:p w14:paraId="34DEE482" w14:textId="77777777" w:rsidR="00184562" w:rsidRPr="008B26DE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65F129AA" w14:textId="77777777" w:rsidR="00184562" w:rsidRPr="008B26DE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تهيئة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6FD841CF" w14:textId="77777777" w:rsidR="00184562" w:rsidRPr="005D2DDD" w:rsidRDefault="00184562" w:rsidP="0018456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تقديم الخدمات العامة المساعدة على الانتظام في الساعات المكتبية.</w:t>
            </w:r>
          </w:p>
        </w:tc>
      </w:tr>
    </w:tbl>
    <w:p w14:paraId="7B5DD2A0" w14:textId="77777777" w:rsidR="00184562" w:rsidRPr="005D2DDD" w:rsidRDefault="00184562" w:rsidP="0018456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9664766" w14:textId="77777777" w:rsidR="00184562" w:rsidRPr="005D2DDD" w:rsidRDefault="00184562" w:rsidP="00184562">
      <w:pPr>
        <w:pStyle w:val="1"/>
      </w:pPr>
      <w:r w:rsidRPr="005D2DDD">
        <w:rPr>
          <w:rtl/>
        </w:rPr>
        <w:lastRenderedPageBreak/>
        <w:t xml:space="preserve">و – مصادر التعلم والمرافق: </w:t>
      </w:r>
    </w:p>
    <w:p w14:paraId="43CDF6E3" w14:textId="77777777" w:rsidR="00184562" w:rsidRPr="005D2DDD" w:rsidRDefault="00184562" w:rsidP="00184562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84562" w:rsidRPr="005D2DDD" w14:paraId="2E6F512F" w14:textId="77777777" w:rsidTr="00184562">
        <w:trPr>
          <w:trHeight w:val="736"/>
          <w:jc w:val="center"/>
        </w:trPr>
        <w:tc>
          <w:tcPr>
            <w:tcW w:w="2603" w:type="dxa"/>
            <w:vAlign w:val="center"/>
          </w:tcPr>
          <w:p w14:paraId="4F852C5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303098E" w14:textId="77777777" w:rsidR="00184562" w:rsidRPr="00651B60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6926167" w14:textId="77777777" w:rsidR="00184562" w:rsidRPr="00651B60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51B6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51B60">
              <w:rPr>
                <w:rFonts w:asciiTheme="majorBidi" w:hAnsiTheme="majorBidi" w:cstheme="majorBidi"/>
                <w:b/>
                <w:bCs/>
                <w:rtl/>
              </w:rPr>
              <w:t xml:space="preserve"> طبقات المفسرين، لعبد الرحمن بن أبي بكر، جلال الدين السيوطي</w:t>
            </w:r>
            <w:r w:rsidRPr="00651B60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14:paraId="18AF9DF0" w14:textId="77777777" w:rsidR="00184562" w:rsidRPr="00651B60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51B6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51B60">
              <w:rPr>
                <w:rFonts w:asciiTheme="majorBidi" w:hAnsiTheme="majorBidi" w:cstheme="majorBidi"/>
                <w:b/>
                <w:bCs/>
                <w:rtl/>
              </w:rPr>
              <w:t xml:space="preserve"> طبقات المفسرين للداودي. </w:t>
            </w:r>
          </w:p>
          <w:p w14:paraId="244ABAC9" w14:textId="77777777" w:rsidR="00184562" w:rsidRPr="00651B60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1EC6624" w14:textId="77777777" w:rsidR="00184562" w:rsidRPr="00651B60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51B6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51B60">
              <w:rPr>
                <w:rFonts w:asciiTheme="majorBidi" w:hAnsiTheme="majorBidi" w:cstheme="majorBidi"/>
                <w:b/>
                <w:bCs/>
                <w:rtl/>
              </w:rPr>
              <w:t>التفسير و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المفسرون لمحمد بن حسين الذهبي </w:t>
            </w:r>
          </w:p>
          <w:p w14:paraId="45176AF7" w14:textId="77777777" w:rsidR="00184562" w:rsidRPr="008D5B11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51B60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84562" w:rsidRPr="005D2DDD" w14:paraId="651E0298" w14:textId="77777777" w:rsidTr="00184562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7F8A4E8A" w14:textId="77777777" w:rsidR="00184562" w:rsidRPr="005E603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77F3F57F" w14:textId="77777777" w:rsidR="00184562" w:rsidRPr="005E603D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5E603D">
              <w:rPr>
                <w:rFonts w:asciiTheme="majorBidi" w:hAnsiTheme="majorBidi" w:cstheme="majorBidi" w:hint="cs"/>
                <w:b/>
                <w:bCs/>
                <w:rtl/>
              </w:rPr>
              <w:t>الرسائل العلمية المسجلة في قسم القرآن وعلومه في دراسة مناهج المفسرين</w:t>
            </w:r>
          </w:p>
        </w:tc>
      </w:tr>
      <w:tr w:rsidR="00184562" w:rsidRPr="005D2DDD" w14:paraId="0BD5D057" w14:textId="77777777" w:rsidTr="00184562">
        <w:trPr>
          <w:trHeight w:val="736"/>
          <w:jc w:val="center"/>
        </w:trPr>
        <w:tc>
          <w:tcPr>
            <w:tcW w:w="2603" w:type="dxa"/>
            <w:vAlign w:val="center"/>
          </w:tcPr>
          <w:p w14:paraId="4B566BFE" w14:textId="77777777" w:rsidR="00184562" w:rsidRPr="00FE6640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D79C2E5" w14:textId="77777777" w:rsidR="00184562" w:rsidRPr="005E603D" w:rsidRDefault="00184562" w:rsidP="0018456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E603D">
              <w:rPr>
                <w:rFonts w:asciiTheme="majorBidi" w:hAnsiTheme="majorBidi" w:cstheme="majorBidi"/>
                <w:b/>
                <w:bCs/>
                <w:rtl/>
              </w:rPr>
              <w:t xml:space="preserve">قواعد المعلومات التي توفرها مكتبة </w:t>
            </w:r>
            <w:r w:rsidRPr="005E603D">
              <w:rPr>
                <w:rFonts w:asciiTheme="majorBidi" w:hAnsiTheme="majorBidi" w:cstheme="majorBidi" w:hint="cs"/>
                <w:b/>
                <w:bCs/>
                <w:rtl/>
              </w:rPr>
              <w:t>الأمير</w:t>
            </w:r>
            <w:r w:rsidRPr="005E603D">
              <w:rPr>
                <w:rFonts w:asciiTheme="majorBidi" w:hAnsiTheme="majorBidi" w:cstheme="majorBidi"/>
                <w:b/>
                <w:bCs/>
                <w:rtl/>
              </w:rPr>
              <w:t xml:space="preserve"> سلطان بن عبد العزيز رحمه </w:t>
            </w:r>
            <w:proofErr w:type="gramStart"/>
            <w:r w:rsidRPr="005E603D">
              <w:rPr>
                <w:rFonts w:asciiTheme="majorBidi" w:hAnsiTheme="majorBidi" w:cstheme="majorBidi"/>
                <w:b/>
                <w:bCs/>
                <w:rtl/>
              </w:rPr>
              <w:t xml:space="preserve">الله،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الرابط:</w:t>
            </w:r>
          </w:p>
          <w:p w14:paraId="533699F1" w14:textId="77777777" w:rsidR="00184562" w:rsidRPr="009510EF" w:rsidRDefault="00184562" w:rsidP="00184562">
            <w:pPr>
              <w:pStyle w:val="a6"/>
              <w:bidi/>
              <w:jc w:val="both"/>
              <w:rPr>
                <w:rFonts w:asciiTheme="majorBidi" w:hAnsiTheme="majorBidi" w:cstheme="majorBidi"/>
                <w:rtl/>
              </w:rPr>
            </w:pPr>
          </w:p>
          <w:p w14:paraId="70BC88B7" w14:textId="77777777" w:rsidR="00184562" w:rsidRPr="00E115D6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</w:tc>
      </w:tr>
      <w:tr w:rsidR="00184562" w:rsidRPr="005D2DDD" w14:paraId="4EBC5926" w14:textId="77777777" w:rsidTr="00184562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24A656D3" w14:textId="77777777" w:rsidR="00184562" w:rsidRPr="00FE6640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1C5D9F7E" w14:textId="77777777" w:rsidR="00184562" w:rsidRPr="00E115D6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AB4DF5F" w14:textId="77777777" w:rsidR="00184562" w:rsidRPr="005D2DDD" w:rsidRDefault="00184562" w:rsidP="00184562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184562" w:rsidRPr="005D2DDD" w14:paraId="27243361" w14:textId="77777777" w:rsidTr="00184562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7EA0DCF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920B74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84562" w:rsidRPr="005D2DDD" w14:paraId="5D8918A2" w14:textId="77777777" w:rsidTr="00184562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D3CB22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0224A85A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5B45BB" w14:textId="77777777" w:rsidR="00184562" w:rsidRPr="00DE00BA" w:rsidRDefault="00184562" w:rsidP="00184562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F8F0A3F" w14:textId="77777777" w:rsidR="00184562" w:rsidRPr="00296746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DE00BA">
              <w:rPr>
                <w:rFonts w:asciiTheme="majorBidi" w:hAnsiTheme="majorBidi" w:cstheme="majorBidi"/>
                <w:b/>
                <w:bCs/>
                <w:rtl/>
              </w:rPr>
              <w:t>مكتبة تخصصية.</w:t>
            </w:r>
          </w:p>
        </w:tc>
      </w:tr>
      <w:tr w:rsidR="00184562" w:rsidRPr="005D2DDD" w14:paraId="2815B6FC" w14:textId="77777777" w:rsidTr="00184562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2E18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0B1300B7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0F2BF1" w14:textId="77777777" w:rsidR="00184562" w:rsidRPr="00296746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( البروجكتور</w:t>
            </w:r>
            <w:proofErr w:type="gramEnd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184562" w:rsidRPr="005D2DDD" w14:paraId="31DCE842" w14:textId="77777777" w:rsidTr="00184562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19B3E4" w14:textId="77777777" w:rsidR="00184562" w:rsidRPr="00C36A18" w:rsidRDefault="00184562" w:rsidP="001845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172392" w14:textId="77777777" w:rsidR="00184562" w:rsidRPr="00DE00BA" w:rsidRDefault="00184562" w:rsidP="0018456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17BC678A" w14:textId="77777777" w:rsidR="00184562" w:rsidRPr="00296746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02C6FEA0" w14:textId="77777777" w:rsidR="00184562" w:rsidRDefault="00184562" w:rsidP="00184562">
      <w:pPr>
        <w:pStyle w:val="1"/>
        <w:rPr>
          <w:rtl/>
        </w:rPr>
      </w:pPr>
    </w:p>
    <w:p w14:paraId="27230104" w14:textId="77777777" w:rsidR="00184562" w:rsidRPr="00234487" w:rsidRDefault="00184562" w:rsidP="00184562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184562" w:rsidRPr="005D2DDD" w14:paraId="3507B8E9" w14:textId="77777777" w:rsidTr="00184562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4EAB579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B40A438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9E8DA33" w14:textId="77777777" w:rsidR="00184562" w:rsidRPr="005D2DDD" w:rsidRDefault="00184562" w:rsidP="0018456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84562" w:rsidRPr="005D2DDD" w14:paraId="01F10582" w14:textId="77777777" w:rsidTr="00184562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4D8915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909437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92D48E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184562" w:rsidRPr="005D2DDD" w14:paraId="542ECCDD" w14:textId="77777777" w:rsidTr="0018456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6D0F5D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F33308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F9BF5B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184562" w:rsidRPr="005D2DDD" w14:paraId="22D8F3C0" w14:textId="77777777" w:rsidTr="0018456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762D14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AC163C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DDB797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184562" w:rsidRPr="005D2DDD" w14:paraId="713C835E" w14:textId="77777777" w:rsidTr="0018456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0BC2B2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391E79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52F2E2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184562" w:rsidRPr="005D2DDD" w14:paraId="12D210B0" w14:textId="77777777" w:rsidTr="0018456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88A0FD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94DCDB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E99A51" w14:textId="77777777" w:rsidR="00184562" w:rsidRPr="00BC6833" w:rsidRDefault="00184562" w:rsidP="0018456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1FD6DBC6" w14:textId="77777777" w:rsidR="00184562" w:rsidRPr="00B5520F" w:rsidRDefault="00184562" w:rsidP="0018456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</w:t>
      </w:r>
      <w:r>
        <w:rPr>
          <w:rFonts w:asciiTheme="majorBidi" w:hAnsiTheme="majorBidi" w:cstheme="majorBidi"/>
          <w:sz w:val="20"/>
          <w:szCs w:val="20"/>
          <w:rtl/>
          <w:lang w:bidi="ar-EG"/>
        </w:rPr>
        <w:t>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.. إلخ)</w:t>
      </w:r>
    </w:p>
    <w:p w14:paraId="10B9F860" w14:textId="77777777" w:rsidR="00184562" w:rsidRPr="00B5520F" w:rsidRDefault="00184562" w:rsidP="0018456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497A2C41" w14:textId="77777777" w:rsidR="00184562" w:rsidRDefault="00184562" w:rsidP="0018456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F0087FC" w14:textId="77777777" w:rsidR="00184562" w:rsidRPr="001B3E69" w:rsidRDefault="00184562" w:rsidP="00184562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184562" w:rsidRPr="0052240F" w14:paraId="7465ADB6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26DCE9A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99BADC1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184562" w:rsidRPr="0052240F" w14:paraId="3BA46A90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7BC625D6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7BA6735B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184562" w:rsidRPr="0052240F" w14:paraId="2818519D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D98DD92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5C78F9E9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47FFB213" w14:textId="77777777" w:rsidR="00184562" w:rsidRPr="0052240F" w:rsidRDefault="00184562" w:rsidP="00184562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184562" w:rsidRPr="0052240F" w14:paraId="7F0B05BF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75F6C07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62C01C50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184562" w:rsidRPr="0052240F" w14:paraId="2161A9D2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4E864AC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426B1717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184562" w:rsidRPr="0052240F" w14:paraId="615986AC" w14:textId="77777777" w:rsidTr="0018456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ABC964F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6FDF374D" w14:textId="77777777" w:rsidR="00184562" w:rsidRPr="0052240F" w:rsidRDefault="00184562" w:rsidP="0018456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24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70D8B0C4" w14:textId="77777777" w:rsidR="00055DDF" w:rsidRPr="00055DDF" w:rsidRDefault="00055DDF" w:rsidP="00184562">
      <w:pPr>
        <w:bidi/>
        <w:rPr>
          <w:rFonts w:hint="cs"/>
          <w:lang w:val="en-GB"/>
        </w:rPr>
      </w:pPr>
    </w:p>
    <w:sectPr w:rsidR="00055DDF" w:rsidRPr="00055DDF" w:rsidSect="006356BA">
      <w:footerReference w:type="default" r:id="rId8"/>
      <w:headerReference w:type="first" r:id="rId9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6B030" w14:textId="77777777" w:rsidR="006356BA" w:rsidRDefault="006356BA" w:rsidP="00055DDF">
      <w:r>
        <w:separator/>
      </w:r>
    </w:p>
  </w:endnote>
  <w:endnote w:type="continuationSeparator" w:id="0">
    <w:p w14:paraId="7DF3F766" w14:textId="77777777" w:rsidR="006356BA" w:rsidRDefault="006356BA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6EF64" w14:textId="77777777" w:rsidR="006356BA" w:rsidRDefault="006356BA" w:rsidP="00055DDF">
      <w:r>
        <w:separator/>
      </w:r>
    </w:p>
  </w:footnote>
  <w:footnote w:type="continuationSeparator" w:id="0">
    <w:p w14:paraId="7B63F61C" w14:textId="77777777" w:rsidR="006356BA" w:rsidRDefault="006356BA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184562"/>
    <w:rsid w:val="006356BA"/>
    <w:rsid w:val="00703739"/>
    <w:rsid w:val="007C2D63"/>
    <w:rsid w:val="007E14FC"/>
    <w:rsid w:val="00813E64"/>
    <w:rsid w:val="00CD0145"/>
    <w:rsid w:val="00CF6D6E"/>
    <w:rsid w:val="00D7385F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2024-05-05T11:36:00Z</dcterms:created>
  <dcterms:modified xsi:type="dcterms:W3CDTF">2024-05-05T11:36:00Z</dcterms:modified>
</cp:coreProperties>
</file>