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7425" y="2651275"/>
                          <a:ext cx="7557135" cy="2257425"/>
                          <a:chOff x="1567425" y="2651275"/>
                          <a:chExt cx="7557150" cy="2257450"/>
                        </a:xfrm>
                      </wpg:grpSpPr>
                      <wpg:grpSp>
                        <wpg:cNvGrpSpPr/>
                        <wpg:grpSpPr>
                          <a:xfrm>
                            <a:off x="1567433" y="2651288"/>
                            <a:ext cx="7557135" cy="2257425"/>
                            <a:chOff x="9525" y="38100"/>
                            <a:chExt cx="7557135" cy="22574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525" y="38100"/>
                              <a:ext cx="755712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62831" l="0" r="0" t="16044"/>
                            <a:stretch/>
                          </pic:blipFill>
                          <pic:spPr>
                            <a:xfrm>
                              <a:off x="9525" y="38100"/>
                              <a:ext cx="755713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695325" y="161925"/>
                              <a:ext cx="946150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T-104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2022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135" cy="2257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71525" y="3495500"/>
                          <a:ext cx="2748915" cy="568960"/>
                          <a:chOff x="3971525" y="3495500"/>
                          <a:chExt cx="2748950" cy="569000"/>
                        </a:xfrm>
                      </wpg:grpSpPr>
                      <wpg:grpSp>
                        <wpg:cNvGrpSpPr/>
                        <wpg:grpSpPr>
                          <a:xfrm>
                            <a:off x="3971543" y="3495520"/>
                            <a:ext cx="2748915" cy="568960"/>
                            <a:chOff x="508000" y="-508000"/>
                            <a:chExt cx="2748915" cy="568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08000" y="-508000"/>
                              <a:ext cx="2748900" cy="56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508000" y="-508000"/>
                              <a:ext cx="274891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4"/>
                                    <w:vertAlign w:val="baseline"/>
                                  </w:rPr>
                                  <w:t xml:space="preserve">توصيف المقرر الدراسي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 flipH="1">
                              <a:off x="2717800" y="6350"/>
                              <a:ext cx="273050" cy="54610"/>
                            </a:xfrm>
                            <a:prstGeom prst="rect">
                              <a:avLst/>
                            </a:prstGeom>
                            <a:solidFill>
                              <a:srgbClr val="F49F5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8915" cy="568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466.9999999999993" w:tblpY="557"/>
        <w:bidiVisual w:val="1"/>
        <w:tblW w:w="8092.0" w:type="dxa"/>
        <w:jc w:val="left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400"/>
      </w:tblPr>
      <w:tblGrid>
        <w:gridCol w:w="8092"/>
        <w:tblGridChange w:id="0">
          <w:tblGrid>
            <w:gridCol w:w="809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مقدمات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ومصطلحات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العقيدة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line="276" w:lineRule="auto"/>
              <w:jc w:val="both"/>
              <w:rPr>
                <w:rFonts w:ascii="Traditional Arabic" w:cs="Traditional Arabic" w:eastAsia="Traditional Arabic" w:hAnsi="Traditional Arabic"/>
                <w:sz w:val="36"/>
                <w:szCs w:val="3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601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ماجستير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القسم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العلمي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ومذاهب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معاصرة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الكلية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أصول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الدين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المؤسسة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جامعة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الامام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سعود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الإسلامية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نسخة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color w:val="5279bb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آخر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مراجعة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12/ 1/ 1445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1"/>
        </w:tabs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المحتويات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:</w:t>
        <w:tab/>
      </w:r>
    </w:p>
    <w:tbl>
      <w:tblPr>
        <w:tblStyle w:val="Table2"/>
        <w:bidiVisual w:val="1"/>
        <w:tblW w:w="9066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7579"/>
        <w:gridCol w:w="1487"/>
        <w:tblGridChange w:id="0">
          <w:tblGrid>
            <w:gridCol w:w="7579"/>
            <w:gridCol w:w="1487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المحتوى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معلومات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عامة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الدراسي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1.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الوصف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العام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2.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الهدف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واستراتيجيات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تدريسها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موضوعات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الطلبة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ه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والمرافق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تقويم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جودة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ز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اعتماد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0d90c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0d90c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3"/>
        <w:bidiVisual w:val="1"/>
        <w:tblW w:w="9016.0" w:type="dxa"/>
        <w:jc w:val="center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000"/>
      </w:tblPr>
      <w:tblGrid>
        <w:gridCol w:w="445"/>
        <w:gridCol w:w="696"/>
        <w:gridCol w:w="817"/>
        <w:gridCol w:w="68"/>
        <w:gridCol w:w="337"/>
        <w:gridCol w:w="32"/>
        <w:gridCol w:w="354"/>
        <w:gridCol w:w="806"/>
        <w:gridCol w:w="452"/>
        <w:gridCol w:w="70"/>
        <w:gridCol w:w="279"/>
        <w:gridCol w:w="154"/>
        <w:gridCol w:w="931"/>
        <w:gridCol w:w="446"/>
        <w:gridCol w:w="1261"/>
        <w:gridCol w:w="356"/>
        <w:gridCol w:w="1512"/>
        <w:tblGridChange w:id="0">
          <w:tblGrid>
            <w:gridCol w:w="445"/>
            <w:gridCol w:w="696"/>
            <w:gridCol w:w="817"/>
            <w:gridCol w:w="68"/>
            <w:gridCol w:w="337"/>
            <w:gridCol w:w="32"/>
            <w:gridCol w:w="354"/>
            <w:gridCol w:w="806"/>
            <w:gridCol w:w="452"/>
            <w:gridCol w:w="70"/>
            <w:gridCol w:w="279"/>
            <w:gridCol w:w="154"/>
            <w:gridCol w:w="931"/>
            <w:gridCol w:w="446"/>
            <w:gridCol w:w="1261"/>
            <w:gridCol w:w="356"/>
            <w:gridCol w:w="1512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17"/>
            <w:shd w:fill="2e237f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0" w:lineRule="auto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بالمقرر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الدراسي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1.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:</w:t>
            </w:r>
          </w:p>
        </w:tc>
        <w:tc>
          <w:tcPr>
            <w:gridSpan w:val="13"/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2.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نوع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جامعة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كلية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تخصص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مسار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إجباري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اختياري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2"/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3.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/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المستوى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الذي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يقدم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فيه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pStyle w:val="Heading2"/>
              <w:bidi w:val="1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4. </w:t>
            </w:r>
            <w:r w:rsidDel="00000000" w:rsidR="00000000" w:rsidRPr="00000000">
              <w:rPr>
                <w:rtl w:val="1"/>
              </w:rPr>
              <w:t xml:space="preserve">الوصف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  <w:p w:rsidR="00000000" w:rsidDel="00000000" w:rsidP="00000000" w:rsidRDefault="00000000" w:rsidRPr="00000000" w14:paraId="000000A1">
            <w:pPr>
              <w:bidi w:val="1"/>
              <w:rPr>
                <w:rFonts w:ascii="Traditional Arabic" w:cs="Traditional Arabic" w:eastAsia="Traditional Arabic" w:hAnsi="Traditional Arabic"/>
                <w:sz w:val="32"/>
                <w:szCs w:val="3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يتناول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المقرر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مقدمات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حيث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وبيان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أسمائه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وأهميته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وعناية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السلف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والتعريف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والجماعة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ومصادرهم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التلقي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ومنهجهم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تقرير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مسائل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الاعتقاد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والرد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المخالفين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5.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السابقة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  </w:t>
            </w:r>
          </w:p>
          <w:p w:rsidR="00000000" w:rsidDel="00000000" w:rsidP="00000000" w:rsidRDefault="00000000" w:rsidRPr="00000000" w14:paraId="000000B3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  <w:p w:rsidR="00000000" w:rsidDel="00000000" w:rsidP="00000000" w:rsidRDefault="00000000" w:rsidRPr="00000000" w14:paraId="000000B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6.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المتزامنة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C6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pStyle w:val="Heading2"/>
              <w:bidi w:val="1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7. </w:t>
            </w:r>
            <w:r w:rsidDel="00000000" w:rsidR="00000000" w:rsidRPr="00000000">
              <w:rPr>
                <w:rtl w:val="1"/>
              </w:rPr>
              <w:t xml:space="preserve">الهدف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الرئيس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  <w:p w:rsidR="00000000" w:rsidDel="00000000" w:rsidP="00000000" w:rsidRDefault="00000000" w:rsidRPr="00000000" w14:paraId="000000D8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يتمكن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المعارف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والمهارات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بالأسس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والقواعد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العامة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والمصطلحات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52b5c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نمط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09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820"/>
        <w:gridCol w:w="3325"/>
        <w:gridCol w:w="2953"/>
        <w:gridCol w:w="1992"/>
        <w:tblGridChange w:id="0">
          <w:tblGrid>
            <w:gridCol w:w="820"/>
            <w:gridCol w:w="3325"/>
            <w:gridCol w:w="2953"/>
            <w:gridCol w:w="1992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نمط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التدريسية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اعتيادي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3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الإلكتروني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8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المدمج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الاعتيادي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بعد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الساعات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التدريسية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على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مستوى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الفصل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الدراسي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638"/>
        <w:gridCol w:w="4795"/>
        <w:gridCol w:w="1790"/>
        <w:gridCol w:w="1797"/>
        <w:tblGridChange w:id="0">
          <w:tblGrid>
            <w:gridCol w:w="638"/>
            <w:gridCol w:w="4795"/>
            <w:gridCol w:w="1790"/>
            <w:gridCol w:w="1797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النشاط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التعلم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النسبة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محاضرات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معمل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أو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إستوديو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ميداني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دروس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إضافية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الإجمالي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نواتج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للمقرر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واستراتيجيات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تدريسها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وطرق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6"/>
        <w:bidiVisual w:val="1"/>
        <w:tblW w:w="9011.000000000002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868"/>
        <w:gridCol w:w="2751"/>
        <w:gridCol w:w="1134"/>
        <w:gridCol w:w="2268"/>
        <w:gridCol w:w="1990"/>
        <w:tblGridChange w:id="0">
          <w:tblGrid>
            <w:gridCol w:w="868"/>
            <w:gridCol w:w="2751"/>
            <w:gridCol w:w="1134"/>
            <w:gridCol w:w="2268"/>
            <w:gridCol w:w="1990"/>
          </w:tblGrid>
        </w:tblGridChange>
      </w:tblGrid>
      <w:tr>
        <w:trPr>
          <w:cantSplit w:val="0"/>
          <w:trHeight w:val="401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الرمز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4c3d8e" w:val="clear"/>
          </w:tcPr>
          <w:p w:rsidR="00000000" w:rsidDel="00000000" w:rsidP="00000000" w:rsidRDefault="00000000" w:rsidRPr="00000000" w14:paraId="00000123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4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المرتبط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بالبرنامج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0"/>
              </w:rPr>
              <w:t xml:space="preserve">1.0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28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المعرفة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والفهم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D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مراحل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تطور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المصطلح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1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2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3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المصطلحات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عصر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4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7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9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الحق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مصطلح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D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F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يجوز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إعمال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يجوز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0">
            <w:pPr>
              <w:bidi w:val="1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1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4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44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2.0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45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المهارات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A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يرد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يقول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بعدم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حجية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خبر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الآحاد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B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C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4D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E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F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0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يستنبط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اللوازم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المترتبة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تقسيم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الكلام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لحقيقة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ومجاز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 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2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5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5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6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يميز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والبدعة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8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5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5B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3.0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5C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القيم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والاستقلالية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والمسؤولية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1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يلتزم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بأخلاق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الباحثين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وآدابهم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الشرعية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2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6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الذاتي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5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الملاحظة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لأداء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6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والجماعي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8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يتعاون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ويشارك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المتنوعة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6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C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الأقران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E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F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0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1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موضوعات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</w:p>
    <w:tbl>
      <w:tblPr>
        <w:tblStyle w:val="Table7"/>
        <w:bidiVisual w:val="1"/>
        <w:tblW w:w="901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557"/>
        <w:gridCol w:w="6761"/>
        <w:gridCol w:w="1697"/>
        <w:tblGridChange w:id="0">
          <w:tblGrid>
            <w:gridCol w:w="557"/>
            <w:gridCol w:w="6761"/>
            <w:gridCol w:w="1697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الموضوعات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التدريسية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9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بالمسميات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الدين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الدين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الإيمان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التوحيد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الفقه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الأكبر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الشريعة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الجماعة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وبيان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نشأتها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واستعمالاتها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التلقي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السلف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ومخالفيهم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D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F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التأويل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المتشابه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المجاز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دفع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دعوى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العقل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والنقل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البدعة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مفهومها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وقواعد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المخالفين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52b5c2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  <w:rtl w:val="1"/>
              </w:rPr>
              <w:t xml:space="preserve">المجموع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  <w:rtl w:val="0"/>
              </w:rPr>
              <w:t xml:space="preserve">48</w:t>
            </w:r>
          </w:p>
        </w:tc>
      </w:tr>
    </w:tbl>
    <w:p w:rsidR="00000000" w:rsidDel="00000000" w:rsidP="00000000" w:rsidRDefault="00000000" w:rsidRPr="00000000" w14:paraId="0000018A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أنشطة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الطلبة</w:t>
      </w:r>
    </w:p>
    <w:tbl>
      <w:tblPr>
        <w:tblStyle w:val="Table8"/>
        <w:bidiVisual w:val="1"/>
        <w:tblW w:w="903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41"/>
        <w:gridCol w:w="5077"/>
        <w:gridCol w:w="1622"/>
        <w:gridCol w:w="1895"/>
        <w:tblGridChange w:id="0">
          <w:tblGrid>
            <w:gridCol w:w="441"/>
            <w:gridCol w:w="5077"/>
            <w:gridCol w:w="1622"/>
            <w:gridCol w:w="1895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توقيت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  <w:p w:rsidR="00000000" w:rsidDel="00000000" w:rsidP="00000000" w:rsidRDefault="00000000" w:rsidRPr="00000000" w14:paraId="0000018F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بالأسبوع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1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إجمالي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درجة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3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وجماعي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4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مستمر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الأعمال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السابع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الأخير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F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0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1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bidi w:val="1"/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أنشطة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اختبار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تحريري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شفهي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عرض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تقديمي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مشروع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جماعي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ورقة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عمل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وغيره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)</w:t>
      </w:r>
    </w:p>
    <w:p w:rsidR="00000000" w:rsidDel="00000000" w:rsidP="00000000" w:rsidRDefault="00000000" w:rsidRPr="00000000" w14:paraId="000001A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ه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A5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قائمة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المراجع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889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624"/>
        <w:gridCol w:w="6273"/>
        <w:tblGridChange w:id="0">
          <w:tblGrid>
            <w:gridCol w:w="2624"/>
            <w:gridCol w:w="6273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للمقرر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7">
            <w:pPr>
              <w:bidi w:val="1"/>
              <w:spacing w:line="204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درء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تعارض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العقل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والنقل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لشيخ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الإسلام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تيمية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A8">
            <w:pPr>
              <w:bidi w:val="1"/>
              <w:spacing w:line="204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الرسالة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المدنية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الحقيقة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والمجاز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لشيخ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الإسلام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تيمية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A9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مختصر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كتاب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الصواعق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امرسلة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الجهمية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والمعطلة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القيم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المساندة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spacing w:line="204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الإيمان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لشيخ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الإسلام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تيمية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AC">
            <w:pPr>
              <w:bidi w:val="1"/>
              <w:spacing w:line="204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مجموع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فتاوى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شيخ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الإسلام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تيمية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AD">
            <w:pPr>
              <w:bidi w:val="1"/>
              <w:spacing w:line="204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الإكليل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المتشابه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والتأويل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لشيخ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الإسلام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تيمية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AE">
            <w:pPr>
              <w:bidi w:val="1"/>
              <w:spacing w:line="204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الاعتصام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لأبي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إسحاق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إبراهيم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الشاطبي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AF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منع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جواز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المجاز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المنزل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للتعبد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والإعجاز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للشيخ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الأمين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الشنقيطي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المصادر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الإلكترونية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1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المواقع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العلاقة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بالتخصص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أخرى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والتجهيزات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المطلوبة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898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4192"/>
        <w:gridCol w:w="4795"/>
        <w:tblGridChange w:id="0">
          <w:tblGrid>
            <w:gridCol w:w="4192"/>
            <w:gridCol w:w="4795"/>
          </w:tblGrid>
        </w:tblGridChange>
      </w:tblGrid>
      <w:tr>
        <w:trPr>
          <w:cantSplit w:val="0"/>
          <w:trHeight w:val="439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7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العناصر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8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متطلبات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9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النوعية</w:t>
            </w:r>
          </w:p>
          <w:p w:rsidR="00000000" w:rsidDel="00000000" w:rsidP="00000000" w:rsidRDefault="00000000" w:rsidRPr="00000000" w14:paraId="000001BA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المختبرات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المحاكاة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...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إلخ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B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القاعات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التقنية</w:t>
            </w:r>
          </w:p>
          <w:p w:rsidR="00000000" w:rsidDel="00000000" w:rsidP="00000000" w:rsidRDefault="00000000" w:rsidRPr="00000000" w14:paraId="000001BD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جهاز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الذكية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البرمجيات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E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جهاز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F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تبعا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ً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لطبيعة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التخصص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0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1">
      <w:pPr>
        <w:bidi w:val="1"/>
        <w:spacing w:after="17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تقويم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جودة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1"/>
        <w:bidiVisual w:val="1"/>
        <w:tblW w:w="9002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211"/>
        <w:gridCol w:w="3173"/>
        <w:gridCol w:w="2618"/>
        <w:tblGridChange w:id="0">
          <w:tblGrid>
            <w:gridCol w:w="3211"/>
            <w:gridCol w:w="3173"/>
            <w:gridCol w:w="2618"/>
          </w:tblGrid>
        </w:tblGridChange>
      </w:tblGrid>
      <w:tr>
        <w:trPr>
          <w:cantSplit w:val="0"/>
          <w:trHeight w:val="453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3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مجالات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التقويم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المقيمون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الطلاب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قيادات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CE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مدى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تحصيل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مخرجات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للمقرر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1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أخرى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5">
      <w:pPr>
        <w:bidi w:val="1"/>
        <w:spacing w:after="0" w:lineRule="auto"/>
        <w:rPr>
          <w:rFonts w:ascii="DIN NEXT™ ARABIC LIGHT" w:cs="DIN NEXT™ ARABIC LIGHT" w:eastAsia="DIN NEXT™ ARABIC LIGHT" w:hAnsi="DIN NEXT™ ARABIC LIGHT"/>
          <w:sz w:val="18"/>
          <w:szCs w:val="18"/>
        </w:rPr>
      </w:pPr>
      <w:bookmarkStart w:colFirst="0" w:colLast="0" w:name="_heading=h.3dy6vkm" w:id="6"/>
      <w:bookmarkEnd w:id="6"/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المقيمون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الطلبة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أعضاء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هيئة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التدريس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قيادات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البرنامج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المراجع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النظير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أخرى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يتم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تحديدها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</w:p>
    <w:p w:rsidR="00000000" w:rsidDel="00000000" w:rsidP="00000000" w:rsidRDefault="00000000" w:rsidRPr="00000000" w14:paraId="000001D6">
      <w:pPr>
        <w:bidi w:val="1"/>
        <w:spacing w:after="0" w:line="288" w:lineRule="auto"/>
        <w:rPr>
          <w:rFonts w:ascii="DIN NEXT™ ARABIC LIGHT" w:cs="DIN NEXT™ ARABIC LIGHT" w:eastAsia="DIN NEXT™ ARABIC LIGHT" w:hAnsi="DIN NEXT™ ARABIC LIGHT"/>
          <w:sz w:val="20"/>
          <w:szCs w:val="20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طرق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وغير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bidi w:val="1"/>
        <w:spacing w:after="17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ز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اعتماد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التوصيف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2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747"/>
        <w:gridCol w:w="7273"/>
        <w:tblGridChange w:id="0">
          <w:tblGrid>
            <w:gridCol w:w="1747"/>
            <w:gridCol w:w="7273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9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جهة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الاعتماد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A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والمذاهب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المعاصرة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E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DF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6838" w:w="11906" w:orient="portrait"/>
      <w:pgMar w:bottom="1440" w:top="1440" w:left="1440" w:right="1440" w:header="72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aditional Arabic"/>
  <w:font w:name="Georgia"/>
  <w:font w:name="Times New Roman"/>
  <w:font w:name="Sakkal Majalla"/>
  <w:font w:name="Courier New"/>
  <w:font w:name="DIN NEXT™ ARABIC LIGHT"/>
  <w:font w:name="DIN NEXT™ ARABIC BOLD"/>
  <w:font w:name="DIN NEXT™ ARABIC REGULAR"/>
  <w:font w:name="DIN NEXT™ ARABIC MEDIUM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IN NEXT™ ARABIC MEDIUM" w:cs="DIN NEXT™ ARABIC MEDIUM" w:eastAsia="DIN NEXT™ ARABIC MEDIUM" w:hAnsi="DIN NEXT™ ARABIC MEDIUM"/>
        <w:b w:val="0"/>
        <w:i w:val="0"/>
        <w:smallCaps w:val="0"/>
        <w:strike w:val="0"/>
        <w:color w:val="4c3d8e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47973" cy="10672427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-449884</wp:posOffset>
          </wp:positionV>
          <wp:extent cx="7547973" cy="10672427"/>
          <wp:effectExtent b="0" l="0" r="0" t="0"/>
          <wp:wrapNone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bidi w:val="1"/>
      <w:spacing w:after="0" w:line="240" w:lineRule="auto"/>
    </w:pPr>
    <w:rPr>
      <w:rFonts w:ascii="Traditional Arabic" w:cs="Traditional Arabic" w:eastAsia="Traditional Arabic" w:hAnsi="Traditional Arabic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C0FCB"/>
  </w:style>
  <w:style w:type="paragraph" w:styleId="2">
    <w:name w:val="heading 2"/>
    <w:basedOn w:val="a"/>
    <w:next w:val="a"/>
    <w:link w:val="2Char"/>
    <w:autoRedefine w:val="1"/>
    <w:qFormat w:val="1"/>
    <w:rsid w:val="009C3F5C"/>
    <w:pPr>
      <w:keepNext w:val="1"/>
      <w:bidi w:val="1"/>
      <w:spacing w:after="0" w:line="240" w:lineRule="auto"/>
      <w:outlineLvl w:val="1"/>
    </w:pPr>
    <w:rPr>
      <w:rFonts w:ascii="Traditional Arabic" w:cs="Traditional Arabic" w:eastAsia="Times New Roman" w:hAnsi="Traditional Arabic"/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EE490F"/>
  </w:style>
  <w:style w:type="paragraph" w:styleId="BasicParagraph" w:customStyle="1">
    <w:name w:val="[Basic Paragraph]"/>
    <w:basedOn w:val="a"/>
    <w:uiPriority w:val="99"/>
    <w:rsid w:val="002761CB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ascii="Times New Roman" w:cs="Times New Roman" w:hAnsi="Times New Roman"/>
      <w:color w:val="000000"/>
      <w:sz w:val="24"/>
      <w:szCs w:val="24"/>
      <w:lang w:bidi="ar-YE"/>
    </w:rPr>
  </w:style>
  <w:style w:type="character" w:styleId="a5" w:customStyle="1">
    <w:name w:val="عنوان بني"/>
    <w:uiPriority w:val="99"/>
    <w:rsid w:val="002761CB"/>
    <w:rPr>
      <w:rFonts w:ascii="AXtManalBLack" w:cs="AXtManalBLack" w:hAnsi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 w:val="1"/>
    <w:rsid w:val="002C0FD2"/>
    <w:pPr>
      <w:ind w:left="720"/>
      <w:contextualSpacing w:val="1"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 w:customStyle="1">
    <w:name w:val="نص أسود"/>
    <w:uiPriority w:val="99"/>
    <w:rsid w:val="003B44D3"/>
    <w:rPr>
      <w:rFonts w:ascii="AXtManalBold" w:cs="AXtManalBold" w:hAnsi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 w:val="1"/>
    <w:uiPriority w:val="99"/>
    <w:semiHidden w:val="1"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 w:val="1"/>
    <w:unhideWhenUsed w:val="1"/>
    <w:rsid w:val="00E91116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Char1" w:customStyle="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 w:val="1"/>
    <w:locked w:val="1"/>
    <w:rsid w:val="002D35DE"/>
  </w:style>
  <w:style w:type="table" w:styleId="GridTable4-Accent11" w:customStyle="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character" w:styleId="2Char" w:customStyle="1">
    <w:name w:val="عنوان 2 Char"/>
    <w:basedOn w:val="a0"/>
    <w:link w:val="2"/>
    <w:rsid w:val="009C3F5C"/>
    <w:rPr>
      <w:rFonts w:ascii="Traditional Arabic" w:cs="Traditional Arabic" w:eastAsia="Times New Roman" w:hAnsi="Traditional Arabic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VLin5BbJonomwj6b8zuog+IRQ==">CgMxLjAyCGguZ2pkZ3hzMgloLjMwajB6bGwyCWguMWZvYjl0ZTIJaC4zem55c2g3MgloLjJldDkycDAyCGgudHlqY3d0MgloLjNkeTZ2a204AHIhMW55TFhFdW9FSEk1ckxNbWZIMWJpdUNibF93cjJPYWxM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2023-01-11T09:05:00Z</dcterms:created>
  <dc:creator>Khalaf  Alharbi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118400.0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GrammarlyDocumentId">
    <vt:lpwstr>5f3f643ba2b2e07517fa344e32e5e934a6d0dae0c08548b03058c43f3d71ce34</vt:lpwstr>
  </property>
</Properties>
</file>