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الاتجاهات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608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يتناول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بأبرز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الاتجاهات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ونقدها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تحصين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الأفكار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الهدامة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الضالة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أصولها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وأهدافها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8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تمكين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بالاتجاهات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ونقدها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الاتجاهات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أسس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الإلحاد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الغربي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للتشكيك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معتقدات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خطورة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الغربية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4C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الغربية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1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ينقد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الغربية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الاسلام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4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لأبرز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تيارات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الفكر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المعاصر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الحسية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العقلية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المثالية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الجذور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الفلسفية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اليونانية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للإلحاد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الفكر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المعاصر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المدارس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أفلاطون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أرسطو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الرواقية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الأبيقورية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الأسس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المادية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للإلحاد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الفكر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المعاصر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الأساس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الفلسفي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محاربة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الغيبيات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الأساس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للإلحاد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تقديس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التجربة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الحسية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بوصفها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طريقا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أوحد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للبرهان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قضية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يسمى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بالإصلاح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الديني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ومفهوم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التجديد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أوروبا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وامتداده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التنوير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والعقلانية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أوربا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وامتدادها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الاستشراق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النشأة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الدوافع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الأثر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نقده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التغريب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: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النشأة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الدوافع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الأثر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نقده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العلمانية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النشأة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الدوافع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الأثر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نقده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ضوء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19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B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C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D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A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B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-360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الغربي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لمجموعة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المؤلفين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6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الأوربي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دونالد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سترو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مبرج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والحضارة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الغربية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حسين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D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والحضارة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الغربية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لعمر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فروخ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E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الفلسفة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الحديثة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يوسف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كرم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F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الاستشراق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والخلفية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الفكرية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للصراع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الحضاري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محمود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زقزوق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0">
            <w:pPr>
              <w:bidi w:val="1"/>
              <w:spacing w:line="204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الفلسفية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المعاصرة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مصطفى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حلمي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1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المستشرقين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إصدار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المنظمة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للتربية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والثقافة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الأبحاث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المنشورة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المجلات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المحكمة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CD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D0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E8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F1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A77530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color w:val="000000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A77530"/>
    <w:rPr>
      <w:rFonts w:ascii="Traditional Arabic" w:cs="Traditional Arabic" w:eastAsia="Times New Roman" w:hAnsi="Traditional Arabic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AjkuVveIbY9O2A+9mcDJl9ytQ==">CgMxLjAyCGguZ2pkZ3hzMgloLjMwajB6bGwyCWguMWZvYjl0ZTIJaC4zem55c2g3MgloLjJldDkycDAyCGgudHlqY3d0MgloLjNkeTZ2a204AHIhMUF6ZExoQml4MWpPQ0dVUTNvNE9VbkJ2cFNCSDZnM2ZN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