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B173C4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B173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173C4" w:rsidRPr="00B173C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تاريخ فقه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B173C4" w:rsidRPr="00B173C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فقه</w:t>
      </w:r>
      <w:proofErr w:type="gramEnd"/>
      <w:r w:rsidR="00B173C4" w:rsidRPr="00B173C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112</w:t>
      </w:r>
    </w:p>
    <w:p w:rsidR="00921F62" w:rsidRDefault="00100689" w:rsidP="00921F62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أستاذ المقرر:</w:t>
      </w:r>
    </w:p>
    <w:p w:rsidR="00100689" w:rsidRPr="00B173C4" w:rsidRDefault="00100689" w:rsidP="00100689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8679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8679AC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تاريخ</w:t>
            </w:r>
            <w:proofErr w:type="spellEnd"/>
            <w:proofErr w:type="gramEnd"/>
            <w:r w:rsidR="008679AC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 xml:space="preserve"> الفقه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8679AC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112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0141AA" w:rsidRDefault="00B82FD8" w:rsidP="000141A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0141A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0141A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0141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141AA" w:rsidRPr="006A6F6C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73C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73C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73C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73C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BB4379">
        <w:tc>
          <w:tcPr>
            <w:tcW w:w="4308" w:type="dxa"/>
          </w:tcPr>
          <w:p w:rsidR="00701050" w:rsidRPr="00701050" w:rsidRDefault="00701050" w:rsidP="0070105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مبادئ علم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وخصائصه.</w:t>
            </w:r>
          </w:p>
          <w:p w:rsidR="00701050" w:rsidRPr="00701050" w:rsidRDefault="00701050" w:rsidP="0070105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-مبادئ علم الفقه: تعريف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موضوعه, فائدته , فضله, نسبته إلى غيره من العلوم, واضعه, حكمه, استمداده, اسمه, مسائله.</w:t>
            </w:r>
          </w:p>
          <w:p w:rsidR="00701050" w:rsidRPr="00701050" w:rsidRDefault="00701050" w:rsidP="0070105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-أبرز المؤلفات في تاريخ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ومصطلحاته, وغريبه في المذاهب الأربعة وتراجم أشهر علمائه.</w:t>
            </w:r>
          </w:p>
          <w:p w:rsidR="00701050" w:rsidRPr="00701050" w:rsidRDefault="00701050" w:rsidP="0070105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-خصائص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والفرق بينه وبين غيره من العلوم </w:t>
            </w: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الشرعية.</w:t>
            </w:r>
          </w:p>
          <w:p w:rsidR="00701050" w:rsidRPr="00701050" w:rsidRDefault="00701050" w:rsidP="0070105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-أقسام الفقه وموضوعاتها.</w:t>
            </w:r>
          </w:p>
          <w:p w:rsidR="00DA4951" w:rsidRPr="00B6065E" w:rsidRDefault="00701050" w:rsidP="00701050">
            <w:pPr>
              <w:widowControl w:val="0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-مناقشة دعوى تأثر الفقه الإسلامي بالنظم السابقة.</w:t>
            </w:r>
            <w:r w:rsidR="00B8577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119" w:type="dxa"/>
            <w:vAlign w:val="center"/>
          </w:tcPr>
          <w:p w:rsidR="00DA4951" w:rsidRPr="00E8014E" w:rsidRDefault="00C72BD5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7E334F" w:rsidTr="005B74CF">
        <w:tc>
          <w:tcPr>
            <w:tcW w:w="4308" w:type="dxa"/>
            <w:vAlign w:val="center"/>
          </w:tcPr>
          <w:p w:rsidR="00701050" w:rsidRPr="00701050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أثر عصر النبوة في تأسيس الفقه.</w:t>
            </w:r>
          </w:p>
          <w:p w:rsidR="00701050" w:rsidRPr="00701050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-حالة الناس قبل البعثة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النبوية,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وكونها رحمة للعالمين.</w:t>
            </w:r>
          </w:p>
          <w:p w:rsidR="00701050" w:rsidRPr="00701050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-أهمية الدور التأسيسي للفقه في العصر النبوي.</w:t>
            </w:r>
          </w:p>
          <w:p w:rsidR="00701050" w:rsidRPr="00701050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-مصادر التشريع في عصر النبوة.</w:t>
            </w:r>
          </w:p>
          <w:p w:rsidR="00701050" w:rsidRPr="00701050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-أسس التشريع في عصر النبوة.</w:t>
            </w:r>
          </w:p>
          <w:p w:rsidR="00701050" w:rsidRPr="00701050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-التدرج في التشريع.</w:t>
            </w:r>
          </w:p>
          <w:p w:rsidR="00E14468" w:rsidRPr="00657B44" w:rsidRDefault="00701050" w:rsidP="0070105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-منهج الرسول صلى الله عليه وسلم في بيان الأحكام.</w:t>
            </w:r>
          </w:p>
        </w:tc>
        <w:tc>
          <w:tcPr>
            <w:tcW w:w="1119" w:type="dxa"/>
            <w:vAlign w:val="center"/>
          </w:tcPr>
          <w:p w:rsidR="00E14468" w:rsidRPr="00E8014E" w:rsidRDefault="007010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01050" w:rsidRPr="00701050" w:rsidRDefault="00701050" w:rsidP="00701050">
            <w:pPr>
              <w:bidi/>
              <w:spacing w:line="400" w:lineRule="exact"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أثر عصر الصحابة والتابعين في الفقه.</w:t>
            </w:r>
          </w:p>
          <w:p w:rsidR="00701050" w:rsidRPr="00701050" w:rsidRDefault="00701050" w:rsidP="0070105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-عناية الصحابة بالقرآن والسنة.</w:t>
            </w:r>
          </w:p>
          <w:p w:rsidR="00701050" w:rsidRPr="00701050" w:rsidRDefault="00701050" w:rsidP="00701050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-الفقه في عصر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الصحابة,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وفي عصر التابعين.</w:t>
            </w:r>
          </w:p>
          <w:p w:rsidR="00701050" w:rsidRPr="00701050" w:rsidRDefault="00701050" w:rsidP="0070105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-مصادر التشريع في عصر الصحابة والتابعين.</w:t>
            </w:r>
          </w:p>
          <w:p w:rsidR="00701050" w:rsidRPr="00701050" w:rsidRDefault="00701050" w:rsidP="0070105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-أسباب الخلاف الفقهي بين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الصحابة,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ومنهجهم في معالجته، وآدابهم في ذلك, وأمثلة ذلك.</w:t>
            </w:r>
          </w:p>
          <w:p w:rsidR="00701050" w:rsidRPr="00701050" w:rsidRDefault="00701050" w:rsidP="0070105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-فقهاء الصحابة.</w:t>
            </w:r>
          </w:p>
          <w:p w:rsidR="00701050" w:rsidRPr="00701050" w:rsidRDefault="00701050" w:rsidP="0070105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أبرز  خصائص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فقه الصحابة واجتهادهم.</w:t>
            </w:r>
          </w:p>
          <w:p w:rsidR="00701050" w:rsidRPr="00701050" w:rsidRDefault="00701050" w:rsidP="0070105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-مدرستا الحديث </w:t>
            </w:r>
            <w:proofErr w:type="gramStart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والرأي,</w:t>
            </w:r>
            <w:proofErr w:type="gramEnd"/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وأسباب ظهورهما, وأبرز روادهما.</w:t>
            </w:r>
          </w:p>
          <w:p w:rsidR="00E14468" w:rsidRPr="006A7B77" w:rsidRDefault="00701050" w:rsidP="00701050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010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-مرحلة تدوين الفقه استقلالاً.</w:t>
            </w:r>
          </w:p>
        </w:tc>
        <w:tc>
          <w:tcPr>
            <w:tcW w:w="1119" w:type="dxa"/>
            <w:vAlign w:val="center"/>
          </w:tcPr>
          <w:p w:rsidR="00E14468" w:rsidRPr="00E8014E" w:rsidRDefault="006A7B7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BB4379">
        <w:tc>
          <w:tcPr>
            <w:tcW w:w="4308" w:type="dxa"/>
          </w:tcPr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 في عصر الأئمة المجتهدين.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-أسباب ازدهار الفقه في عصر الأئمة المجتهدين.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-المذاهب الفقهية: المراد </w:t>
            </w:r>
            <w:proofErr w:type="gramStart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بالمذهب,</w:t>
            </w:r>
            <w:proofErr w:type="gramEnd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المذاهب الفقهية الموجودة في ذلك العصر , أسباب اختلاف الفقهاء.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-قواعد الاستنباط الأصولية في عصر الأئمة المجتهدين.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-المقارنة بين تدوين الفقه في هذا العصر وما قبله.</w:t>
            </w:r>
          </w:p>
          <w:p w:rsidR="00DB2853" w:rsidRPr="00D23962" w:rsidRDefault="00C47396" w:rsidP="00C47396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-أبرز أئمة هذه الفترة غير أئمة المذاهب الأربعة: </w:t>
            </w:r>
            <w:proofErr w:type="gramStart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الأوزاعي,</w:t>
            </w:r>
            <w:proofErr w:type="gramEnd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والثوري, والليث, وداود الظاهري, والطبري, ونماذج من فقههم , وسبب اندثار مذاهبهم.</w:t>
            </w:r>
            <w:r w:rsidR="001B1378"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DB2853" w:rsidRPr="00E8014E" w:rsidRDefault="00C47396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7E334F" w:rsidTr="005B74CF">
        <w:tc>
          <w:tcPr>
            <w:tcW w:w="4308" w:type="dxa"/>
            <w:vAlign w:val="center"/>
          </w:tcPr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لفقه بعد عصر الأئمة المجتهدين.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-أنواع المنتسبين للفقه في هذا العصر.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-أسباب دعوة من دعا إلى سد باب الاجتهاد في هذه </w:t>
            </w:r>
            <w:proofErr w:type="gramStart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الفترة,</w:t>
            </w:r>
            <w:proofErr w:type="gramEnd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وآثار ذلك على الفقه.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-الاطلاع على نماذج من كتب الفقه </w:t>
            </w:r>
            <w:proofErr w:type="gramStart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المذهبي,</w:t>
            </w:r>
            <w:proofErr w:type="gramEnd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والوقوف على الفروق بين مدونات هذا العصر وسابقه.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-الطرائق الجديدة في التأليف من شروح وحواش ومنظومات.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تقليد الأئمة الأربعة.</w:t>
            </w:r>
          </w:p>
          <w:p w:rsidR="00C47396" w:rsidRPr="00C47396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-التعصب </w:t>
            </w:r>
            <w:proofErr w:type="gramStart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المذهبي,</w:t>
            </w:r>
            <w:proofErr w:type="gramEnd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وأثرها على الفقه وسبل تلافيها.</w:t>
            </w:r>
          </w:p>
          <w:p w:rsidR="00E14468" w:rsidRPr="00977FD5" w:rsidRDefault="00C47396" w:rsidP="00C4739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-جهود فقهاء هذا </w:t>
            </w:r>
            <w:proofErr w:type="gramStart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العصر ,</w:t>
            </w:r>
            <w:proofErr w:type="gramEnd"/>
            <w:r w:rsidRPr="00C4739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وظهور الدعوة إلى التجديد</w:t>
            </w:r>
          </w:p>
        </w:tc>
        <w:tc>
          <w:tcPr>
            <w:tcW w:w="1119" w:type="dxa"/>
            <w:vAlign w:val="center"/>
          </w:tcPr>
          <w:p w:rsidR="00E14468" w:rsidRPr="00E8014E" w:rsidRDefault="00C4739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لفقه في العصر الحاضر.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-التجديد الفقهي في مجال التدريس والتأليف.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-طباعة الكتب الفقهية.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-إنشاء كليات </w:t>
            </w:r>
            <w:proofErr w:type="gramStart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الشريعة,</w:t>
            </w:r>
            <w:proofErr w:type="gramEnd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والاهتمام بالدراسات الفقهية المقارنة.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-التعريف بالمجامع </w:t>
            </w:r>
            <w:proofErr w:type="gramStart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الفقهية,</w:t>
            </w:r>
            <w:proofErr w:type="gramEnd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والهيئات الشرعية, ولجان الفتوى 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-إقامة المؤتمرات والندوات الفقهية.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-الصياغة الواضحة للفقه لتقريبه للناس.</w:t>
            </w:r>
          </w:p>
          <w:p w:rsidR="009001B7" w:rsidRPr="009001B7" w:rsidRDefault="009001B7" w:rsidP="009001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-النماذج التجديدية المتمثلة في: الموسوعات والمعاجم والنظريات الفقهية.</w:t>
            </w:r>
          </w:p>
          <w:p w:rsidR="00BB4379" w:rsidRPr="00BB4379" w:rsidRDefault="009001B7" w:rsidP="009001B7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-البرامج الحاسوبية والمراجع </w:t>
            </w:r>
            <w:proofErr w:type="gramStart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الإلكترونية,</w:t>
            </w:r>
            <w:proofErr w:type="gramEnd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ومواقع الإنترنت التي تعنى بالفقه.</w:t>
            </w:r>
          </w:p>
          <w:p w:rsidR="007E180E" w:rsidRPr="007E180E" w:rsidRDefault="007E180E" w:rsidP="002B29F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14468" w:rsidRPr="00BB4379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2B29F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7E334F" w:rsidTr="005B74CF">
        <w:tc>
          <w:tcPr>
            <w:tcW w:w="4308" w:type="dxa"/>
            <w:vAlign w:val="center"/>
          </w:tcPr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jc w:val="right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معالم المذهب الحنفي.</w:t>
            </w:r>
          </w:p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-سيرة الإمام أبي </w:t>
            </w:r>
            <w:proofErr w:type="gramStart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حنيفة,</w:t>
            </w:r>
            <w:proofErr w:type="gramEnd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 والظروف المؤثرة في تميز منهجه الفقهي.</w:t>
            </w:r>
          </w:p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-أصول مذهبه.</w:t>
            </w:r>
          </w:p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-أبرز خصائص مذهبه إجمالاً.</w:t>
            </w:r>
          </w:p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-مراتب المسائل عند الحنفية.</w:t>
            </w:r>
          </w:p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lastRenderedPageBreak/>
              <w:t xml:space="preserve">-أبرز المصطلحات المتداولة في المذهب </w:t>
            </w:r>
            <w:proofErr w:type="gramStart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الحنفي,</w:t>
            </w:r>
            <w:proofErr w:type="gramEnd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 ومصادرها.</w:t>
            </w:r>
          </w:p>
          <w:p w:rsidR="009001B7" w:rsidRPr="009001B7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-أبرز أعلام المذهب الحنفي.</w:t>
            </w:r>
          </w:p>
          <w:p w:rsidR="0040417E" w:rsidRPr="001A1E5A" w:rsidRDefault="009001B7" w:rsidP="009001B7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-المصادر المعتمدة عند </w:t>
            </w:r>
            <w:proofErr w:type="gramStart"/>
            <w:r w:rsidRPr="009001B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الحنفية .</w:t>
            </w:r>
            <w:proofErr w:type="gramEnd"/>
          </w:p>
          <w:p w:rsidR="00E14468" w:rsidRPr="00134897" w:rsidRDefault="00E14468" w:rsidP="004041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9001B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4241EF" w:rsidRPr="004241EF" w:rsidRDefault="004241EF" w:rsidP="004241E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معالم المذهب المالكي.</w:t>
            </w:r>
          </w:p>
          <w:p w:rsidR="004241EF" w:rsidRPr="004241EF" w:rsidRDefault="004241EF" w:rsidP="004241E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-سيرة الإمام </w:t>
            </w:r>
            <w:proofErr w:type="gramStart"/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مالك,</w:t>
            </w:r>
            <w:proofErr w:type="gramEnd"/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والظروف المؤثرة في تميز منهجه الفقهي.</w:t>
            </w:r>
          </w:p>
          <w:p w:rsidR="004241EF" w:rsidRPr="004241EF" w:rsidRDefault="004241EF" w:rsidP="004241E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-أصول مذهبه.</w:t>
            </w:r>
          </w:p>
          <w:p w:rsidR="004241EF" w:rsidRPr="004241EF" w:rsidRDefault="004241EF" w:rsidP="004241E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-أبرز خصائص مذهبه إجمالاً.</w:t>
            </w:r>
          </w:p>
          <w:p w:rsidR="004241EF" w:rsidRPr="004241EF" w:rsidRDefault="004241EF" w:rsidP="004241E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-أبرز المصطلحات المتداولة في المذهب </w:t>
            </w:r>
            <w:proofErr w:type="gramStart"/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المالكي,</w:t>
            </w:r>
            <w:proofErr w:type="gramEnd"/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ومصادرها. </w:t>
            </w:r>
          </w:p>
          <w:p w:rsidR="004241EF" w:rsidRPr="004241EF" w:rsidRDefault="004241EF" w:rsidP="004241E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-أبرز أعلام المذهب المالكي.</w:t>
            </w:r>
          </w:p>
          <w:p w:rsidR="00C5188C" w:rsidRPr="001A1E5A" w:rsidRDefault="004241EF" w:rsidP="004241EF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-المصادر المعتمدة عند </w:t>
            </w:r>
            <w:proofErr w:type="gramStart"/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المالكية .</w:t>
            </w:r>
            <w:proofErr w:type="gramEnd"/>
            <w:r w:rsidRPr="004241E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-الحكمة من النسخ.</w:t>
            </w:r>
          </w:p>
        </w:tc>
        <w:tc>
          <w:tcPr>
            <w:tcW w:w="1119" w:type="dxa"/>
            <w:vAlign w:val="center"/>
          </w:tcPr>
          <w:p w:rsidR="00C5188C" w:rsidRDefault="004241E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217091" w:rsidRPr="00217091" w:rsidRDefault="00217091" w:rsidP="0021709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معالم المذهب الشافعي.</w:t>
            </w:r>
          </w:p>
          <w:p w:rsidR="00217091" w:rsidRPr="00217091" w:rsidRDefault="00217091" w:rsidP="0021709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-سيرة الإمام </w:t>
            </w:r>
            <w:proofErr w:type="gramStart"/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الشافعي,</w:t>
            </w:r>
            <w:proofErr w:type="gramEnd"/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والظروف المؤثرة في تميز منهجه الفقهي.</w:t>
            </w:r>
          </w:p>
          <w:p w:rsidR="00217091" w:rsidRPr="00217091" w:rsidRDefault="00217091" w:rsidP="0021709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-أصول مذهبه.</w:t>
            </w:r>
          </w:p>
          <w:p w:rsidR="00217091" w:rsidRPr="00217091" w:rsidRDefault="00217091" w:rsidP="0021709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-أبرز خصائص مذهبه إجمالاً.</w:t>
            </w:r>
          </w:p>
          <w:p w:rsidR="00217091" w:rsidRPr="00217091" w:rsidRDefault="00217091" w:rsidP="0021709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-أبرز المصطلحات المتداولة في المذهب </w:t>
            </w:r>
            <w:proofErr w:type="gramStart"/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الشافعي,</w:t>
            </w:r>
            <w:proofErr w:type="gramEnd"/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ومصادرها.</w:t>
            </w:r>
          </w:p>
          <w:p w:rsidR="00217091" w:rsidRPr="00217091" w:rsidRDefault="00217091" w:rsidP="0021709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-أبرز أعلام المذهب الشافعي.</w:t>
            </w:r>
          </w:p>
          <w:p w:rsidR="00C5188C" w:rsidRPr="00200509" w:rsidRDefault="00217091" w:rsidP="00217091">
            <w:pPr>
              <w:pStyle w:val="ad"/>
              <w:widowControl w:val="0"/>
              <w:tabs>
                <w:tab w:val="left" w:pos="386"/>
                <w:tab w:val="left" w:pos="583"/>
                <w:tab w:val="left" w:pos="763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-المصادر المعتمدة عند </w:t>
            </w:r>
            <w:proofErr w:type="gramStart"/>
            <w:r w:rsidRPr="002170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الشافعية .</w:t>
            </w:r>
            <w:proofErr w:type="gramEnd"/>
          </w:p>
        </w:tc>
        <w:tc>
          <w:tcPr>
            <w:tcW w:w="1119" w:type="dxa"/>
            <w:vAlign w:val="center"/>
          </w:tcPr>
          <w:p w:rsidR="00C5188C" w:rsidRDefault="0020050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BB4379">
        <w:tc>
          <w:tcPr>
            <w:tcW w:w="4308" w:type="dxa"/>
          </w:tcPr>
          <w:p w:rsidR="00614DB5" w:rsidRPr="00614DB5" w:rsidRDefault="00614DB5" w:rsidP="00614DB5">
            <w:pPr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معالم المذهب الحنبلي.</w:t>
            </w:r>
          </w:p>
          <w:p w:rsidR="00614DB5" w:rsidRPr="00614DB5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-سيرة الإمام </w:t>
            </w:r>
            <w:proofErr w:type="gramStart"/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أحمد,</w:t>
            </w:r>
            <w:proofErr w:type="gramEnd"/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والظروف المؤثرة في تميز منهجه الفقهي.</w:t>
            </w:r>
          </w:p>
          <w:p w:rsidR="00614DB5" w:rsidRPr="00614DB5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-أصول مذهبه.</w:t>
            </w:r>
          </w:p>
          <w:p w:rsidR="00614DB5" w:rsidRPr="00614DB5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-تعدد الروايات عن الإمام أحمد.</w:t>
            </w:r>
          </w:p>
          <w:p w:rsidR="00614DB5" w:rsidRPr="00614DB5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-أبرز خصائص مذهبه إجمالاً.</w:t>
            </w:r>
          </w:p>
          <w:p w:rsidR="00614DB5" w:rsidRPr="00614DB5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-أبرز المصطلحات المتداولة في المذهب </w:t>
            </w:r>
            <w:proofErr w:type="gramStart"/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الحنبلي,</w:t>
            </w:r>
            <w:proofErr w:type="gramEnd"/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ومصادرها.</w:t>
            </w:r>
          </w:p>
          <w:p w:rsidR="00614DB5" w:rsidRPr="00614DB5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-أبرز أعلام المذهب الحنبلي.</w:t>
            </w:r>
          </w:p>
          <w:p w:rsidR="004153EC" w:rsidRPr="00882A88" w:rsidRDefault="00614DB5" w:rsidP="00614DB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-المصادر المعتمدة عند </w:t>
            </w:r>
            <w:proofErr w:type="gramStart"/>
            <w:r w:rsidRPr="00614D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الحنابلة .</w:t>
            </w:r>
            <w:proofErr w:type="gramEnd"/>
          </w:p>
        </w:tc>
        <w:tc>
          <w:tcPr>
            <w:tcW w:w="1119" w:type="dxa"/>
            <w:vAlign w:val="center"/>
          </w:tcPr>
          <w:p w:rsidR="004153EC" w:rsidRDefault="007E334F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C972FD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B85B75" w:rsidP="00B85B7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قادرا على </w:t>
            </w:r>
            <w:r w:rsidR="0010524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تحديد مبادئ علم الفقه </w:t>
            </w:r>
            <w:proofErr w:type="gramStart"/>
            <w:r w:rsidR="0010524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الإسلامي ،</w:t>
            </w:r>
            <w:proofErr w:type="gramEnd"/>
            <w:r w:rsidR="0010524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وخصائصه .</w:t>
            </w:r>
          </w:p>
        </w:tc>
        <w:tc>
          <w:tcPr>
            <w:tcW w:w="2896" w:type="dxa"/>
            <w:vMerge w:val="restart"/>
            <w:vAlign w:val="center"/>
          </w:tcPr>
          <w:p w:rsidR="00A67BFB" w:rsidRPr="00A67BFB" w:rsidRDefault="00A67BFB" w:rsidP="00A67BFB">
            <w:pPr>
              <w:pStyle w:val="10"/>
              <w:numPr>
                <w:ilvl w:val="0"/>
                <w:numId w:val="37"/>
              </w:numPr>
              <w:tabs>
                <w:tab w:val="right" w:pos="228"/>
                <w:tab w:val="right" w:pos="370"/>
              </w:tabs>
              <w:bidi/>
              <w:ind w:left="162" w:firstLine="11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</w:pPr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>الاختبار الشفوي</w:t>
            </w:r>
          </w:p>
          <w:p w:rsidR="00A67BFB" w:rsidRPr="00A67BFB" w:rsidRDefault="00A67BFB" w:rsidP="00A67BFB">
            <w:pPr>
              <w:pStyle w:val="10"/>
              <w:numPr>
                <w:ilvl w:val="0"/>
                <w:numId w:val="37"/>
              </w:numPr>
              <w:tabs>
                <w:tab w:val="left" w:pos="277"/>
              </w:tabs>
              <w:bidi/>
              <w:ind w:left="162" w:firstLine="11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</w:pPr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>الاختبار التحريري</w:t>
            </w:r>
          </w:p>
          <w:p w:rsidR="00A67BFB" w:rsidRPr="00A67BFB" w:rsidRDefault="00A67BFB" w:rsidP="00A67BFB">
            <w:pPr>
              <w:pStyle w:val="10"/>
              <w:numPr>
                <w:ilvl w:val="0"/>
                <w:numId w:val="37"/>
              </w:numPr>
              <w:tabs>
                <w:tab w:val="right" w:pos="228"/>
                <w:tab w:val="right" w:pos="370"/>
              </w:tabs>
              <w:bidi/>
              <w:ind w:left="162" w:firstLine="11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 xml:space="preserve">تقييم الأبحاث </w:t>
            </w:r>
            <w:proofErr w:type="gramStart"/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>الفردية  والجماعية</w:t>
            </w:r>
            <w:proofErr w:type="gramEnd"/>
          </w:p>
          <w:p w:rsidR="00A67BFB" w:rsidRPr="00A67BFB" w:rsidRDefault="00A67BFB" w:rsidP="00A67BFB">
            <w:pPr>
              <w:pStyle w:val="10"/>
              <w:numPr>
                <w:ilvl w:val="0"/>
                <w:numId w:val="37"/>
              </w:numPr>
              <w:tabs>
                <w:tab w:val="right" w:pos="228"/>
                <w:tab w:val="right" w:pos="370"/>
              </w:tabs>
              <w:bidi/>
              <w:ind w:left="162" w:firstLine="11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>تقييم المناظرات الفقهية.</w:t>
            </w:r>
          </w:p>
          <w:p w:rsidR="00A67BFB" w:rsidRPr="00A67BFB" w:rsidRDefault="00A67BFB" w:rsidP="00A67BFB">
            <w:pPr>
              <w:pStyle w:val="10"/>
              <w:numPr>
                <w:ilvl w:val="0"/>
                <w:numId w:val="37"/>
              </w:numPr>
              <w:tabs>
                <w:tab w:val="left" w:pos="304"/>
              </w:tabs>
              <w:bidi/>
              <w:ind w:left="162" w:firstLine="11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>تقييم القراءة الخارجية.</w:t>
            </w:r>
          </w:p>
          <w:p w:rsidR="00A67BFB" w:rsidRPr="00A67BFB" w:rsidRDefault="00A67BFB" w:rsidP="00A67BFB">
            <w:pPr>
              <w:pStyle w:val="10"/>
              <w:numPr>
                <w:ilvl w:val="0"/>
                <w:numId w:val="37"/>
              </w:numPr>
              <w:tabs>
                <w:tab w:val="right" w:pos="277"/>
              </w:tabs>
              <w:bidi/>
              <w:ind w:left="277" w:hanging="27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  <w:rtl/>
              </w:rPr>
              <w:t>تقييم التمارين المنزلية والتكاليف.</w:t>
            </w:r>
          </w:p>
          <w:p w:rsidR="00A67BFB" w:rsidRPr="00A67BFB" w:rsidRDefault="00A67BFB" w:rsidP="00A67BFB">
            <w:pPr>
              <w:numPr>
                <w:ilvl w:val="0"/>
                <w:numId w:val="37"/>
              </w:numPr>
              <w:tabs>
                <w:tab w:val="left" w:pos="277"/>
              </w:tabs>
              <w:bidi/>
              <w:ind w:left="135" w:firstLine="115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الملاحظة</w:t>
            </w:r>
          </w:p>
          <w:p w:rsidR="00A67BFB" w:rsidRPr="00A67BFB" w:rsidRDefault="00A67BFB" w:rsidP="00A67BFB">
            <w:pPr>
              <w:numPr>
                <w:ilvl w:val="0"/>
                <w:numId w:val="37"/>
              </w:numPr>
              <w:tabs>
                <w:tab w:val="left" w:pos="277"/>
              </w:tabs>
              <w:bidi/>
              <w:ind w:left="135" w:firstLine="115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تقييم </w:t>
            </w:r>
            <w:proofErr w:type="gramStart"/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الأقران .</w:t>
            </w:r>
            <w:proofErr w:type="gramEnd"/>
          </w:p>
          <w:p w:rsidR="00E14468" w:rsidRPr="00E8014E" w:rsidRDefault="00A67BFB" w:rsidP="00A67BFB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تقييم تلخيص المعلومات </w:t>
            </w:r>
            <w:proofErr w:type="gramStart"/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وعرضها</w:t>
            </w:r>
            <w:r w:rsidRPr="001C4A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B85B75" w:rsidP="00B85B7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قادرا على </w:t>
            </w:r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تعداد أبرز المؤلفات في تاريخ </w:t>
            </w:r>
            <w:proofErr w:type="gramStart"/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الفقه ،</w:t>
            </w:r>
            <w:proofErr w:type="gramEnd"/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ومصطلحاته ، وتراجمه ، وغريبه في </w:t>
            </w:r>
            <w:proofErr w:type="spellStart"/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الدذاهب</w:t>
            </w:r>
            <w:proofErr w:type="spellEnd"/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الأربعة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B85B75" w:rsidP="00B85B7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قادرا على توضيح </w:t>
            </w:r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أهمية الدور التأسيسي للفقه في العصر </w:t>
            </w:r>
            <w:proofErr w:type="gramStart"/>
            <w:r w:rsidR="008C7B9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النبوي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FA7EE7" w:rsidP="00FA7EE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توضيح </w:t>
            </w:r>
            <w:r w:rsidR="008C7B9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مسيرة الفقه في عصر الأئمة المجتهدين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FA7EE7" w:rsidP="00FA7EE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</w:t>
            </w:r>
            <w:r w:rsidR="004E7EC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تعداد معالم المذهب الفقهية الأربعة وأبرز </w:t>
            </w:r>
            <w:r w:rsidR="004E7EC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lastRenderedPageBreak/>
              <w:t xml:space="preserve">أعلام كل </w:t>
            </w:r>
            <w:proofErr w:type="gramStart"/>
            <w:r w:rsidR="004E7EC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مذهب </w:t>
            </w:r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E7EC5" w:rsidRPr="00E8014E" w:rsidTr="00E14468">
        <w:tc>
          <w:tcPr>
            <w:tcW w:w="686" w:type="dxa"/>
          </w:tcPr>
          <w:p w:rsidR="004E7EC5" w:rsidRDefault="004E7EC5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1,6</w:t>
            </w:r>
          </w:p>
        </w:tc>
        <w:tc>
          <w:tcPr>
            <w:tcW w:w="2891" w:type="dxa"/>
            <w:vAlign w:val="center"/>
          </w:tcPr>
          <w:p w:rsidR="004E7EC5" w:rsidRPr="00FA7EE7" w:rsidRDefault="004E7EC5" w:rsidP="00FA7EE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استعراض الأسباب التي دفعت إلى جمع القرآن في المراحل </w:t>
            </w:r>
            <w:proofErr w:type="gramStart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الثلاث .</w:t>
            </w:r>
            <w:proofErr w:type="gramEnd"/>
          </w:p>
        </w:tc>
        <w:tc>
          <w:tcPr>
            <w:tcW w:w="2896" w:type="dxa"/>
          </w:tcPr>
          <w:p w:rsidR="004E7EC5" w:rsidRPr="00E8014E" w:rsidRDefault="004E7EC5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4E7EC5" w:rsidRPr="004E7EC5" w:rsidRDefault="004E7EC5" w:rsidP="00E8014E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إدراك مبادئ علم الفقه الإسلامي </w:t>
            </w:r>
            <w:proofErr w:type="gramStart"/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وخصائصه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2896" w:type="dxa"/>
            <w:vMerge w:val="restart"/>
            <w:vAlign w:val="center"/>
          </w:tcPr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right="17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</w:t>
            </w: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لاختبار</w:t>
            </w: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</w:t>
            </w: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الشفوي. 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تقييم </w:t>
            </w: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ملخص القراءة الخارجية. 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تقييم الواجبات المنزلية.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تقييم البحوث العلمية الفردية</w:t>
            </w: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</w:t>
            </w:r>
            <w:proofErr w:type="gramStart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و</w:t>
            </w: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</w:t>
            </w: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الجماعية</w:t>
            </w:r>
            <w:proofErr w:type="gramEnd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.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الاختبار التحريري.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تقييم </w:t>
            </w: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تقرير عن الندوات وحلقات النقاش العلمية.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proofErr w:type="gramStart"/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الملاحظة .</w:t>
            </w:r>
            <w:proofErr w:type="gramEnd"/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20"/>
                <w:tab w:val="left" w:pos="236"/>
                <w:tab w:val="left" w:pos="304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eastAsia="Calibri" w:hAnsi="Traditional Arabic" w:cs="Traditional Arabic"/>
                <w:color w:val="0070C0"/>
                <w:sz w:val="28"/>
                <w:szCs w:val="28"/>
                <w:rtl/>
                <w:lang w:val="en-US"/>
              </w:rPr>
              <w:t>بحوث صغيرة.</w:t>
            </w:r>
          </w:p>
          <w:p w:rsidR="00A67BFB" w:rsidRPr="00A67BFB" w:rsidRDefault="00A67BFB" w:rsidP="00A67BFB">
            <w:pPr>
              <w:numPr>
                <w:ilvl w:val="0"/>
                <w:numId w:val="38"/>
              </w:numPr>
              <w:tabs>
                <w:tab w:val="left" w:pos="0"/>
                <w:tab w:val="left" w:pos="159"/>
                <w:tab w:val="left" w:pos="301"/>
              </w:tabs>
              <w:bidi/>
              <w:ind w:left="86" w:hanging="66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eastAsia="Calibri" w:hAnsi="Traditional Arabic" w:cs="Traditional Arabic"/>
                <w:color w:val="0070C0"/>
                <w:sz w:val="28"/>
                <w:szCs w:val="28"/>
                <w:rtl/>
                <w:lang w:val="en-US"/>
              </w:rPr>
              <w:t>تقييم المناقشات الحوارية.</w:t>
            </w:r>
          </w:p>
          <w:p w:rsidR="00E14468" w:rsidRPr="00E8014E" w:rsidRDefault="00E14468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إدراك خصائص الفقه الإسلامي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مناقشة دعوى </w:t>
            </w:r>
            <w:proofErr w:type="spellStart"/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تاثر</w:t>
            </w:r>
            <w:proofErr w:type="spellEnd"/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الفقه الإسلامي بالنظم </w:t>
            </w:r>
            <w:proofErr w:type="gramStart"/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السابقة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9A29C9" w:rsidRDefault="00E14468" w:rsidP="00745041">
            <w:pPr>
              <w:jc w:val="center"/>
              <w:rPr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على </w:t>
            </w:r>
            <w:r w:rsidR="00DB4B2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proofErr w:type="spellStart"/>
            <w:r w:rsidR="00DB4B2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إدراكأثرعصر</w:t>
            </w:r>
            <w:proofErr w:type="spellEnd"/>
            <w:proofErr w:type="gramEnd"/>
            <w:r w:rsidR="00DB4B2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النبوة في تأسيس الفقه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قادراً  </w:t>
            </w:r>
            <w:proofErr w:type="spell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إدراك</w:t>
            </w:r>
            <w:proofErr w:type="spellEnd"/>
            <w:proofErr w:type="gramEnd"/>
            <w:r w:rsidR="00282C0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B4B2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أسباب الخلاف الفقهي بين الصحابة ، ومنهجهم في معالجته ، وآدابهم في ذلك ، وأمثلة ذلك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332B3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إدراك حركة الفقه في العصر الحاضر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332B3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إدراك معالم </w:t>
            </w:r>
            <w:proofErr w:type="spellStart"/>
            <w:proofErr w:type="gramStart"/>
            <w:r w:rsidR="00332B3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المذاعبالأربعة</w:t>
            </w:r>
            <w:proofErr w:type="spellEnd"/>
            <w:r w:rsidR="00332B3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،</w:t>
            </w:r>
            <w:proofErr w:type="gramEnd"/>
            <w:r w:rsidR="00332B3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وأبرز أعلام كل مذهب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proofErr w:type="spellStart"/>
            <w:r w:rsidR="006D630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إستخدام</w:t>
            </w:r>
            <w:proofErr w:type="spellEnd"/>
            <w:r w:rsidR="006D630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المهارات والآليات الصحيحة في التفكير والاستدلال </w:t>
            </w:r>
            <w:proofErr w:type="gramStart"/>
            <w:r w:rsidR="006D630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والنقد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6D630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المنهجية العلمية في </w:t>
            </w:r>
            <w:proofErr w:type="gramStart"/>
            <w:r w:rsidR="006D630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البحث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A67BFB" w:rsidRPr="00A67BFB" w:rsidRDefault="00A67BFB" w:rsidP="00A67BFB">
            <w:pPr>
              <w:pStyle w:val="ad"/>
              <w:numPr>
                <w:ilvl w:val="0"/>
                <w:numId w:val="39"/>
              </w:numPr>
              <w:tabs>
                <w:tab w:val="left" w:pos="0"/>
                <w:tab w:val="left" w:pos="362"/>
              </w:tabs>
              <w:bidi/>
              <w:ind w:left="55" w:hanging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proofErr w:type="gramStart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ملاحظة  أداء</w:t>
            </w:r>
            <w:proofErr w:type="gramEnd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الطلبة في المناشط الجماعية.</w:t>
            </w:r>
          </w:p>
          <w:p w:rsidR="00A67BFB" w:rsidRPr="00A67BFB" w:rsidRDefault="00A67BFB" w:rsidP="00A67BFB">
            <w:pPr>
              <w:pStyle w:val="ad"/>
              <w:numPr>
                <w:ilvl w:val="0"/>
                <w:numId w:val="39"/>
              </w:numPr>
              <w:tabs>
                <w:tab w:val="left" w:pos="0"/>
                <w:tab w:val="left" w:pos="362"/>
              </w:tabs>
              <w:bidi/>
              <w:ind w:left="55" w:hanging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مراقبة مدى التزام الطلبة بإنجاز المهام في الوقت المحدد وبالجودة المطلوبة.</w:t>
            </w:r>
          </w:p>
          <w:p w:rsidR="00A67BFB" w:rsidRPr="00A67BFB" w:rsidRDefault="00A67BFB" w:rsidP="00A67BFB">
            <w:pPr>
              <w:pStyle w:val="ad"/>
              <w:numPr>
                <w:ilvl w:val="0"/>
                <w:numId w:val="39"/>
              </w:numPr>
              <w:tabs>
                <w:tab w:val="left" w:pos="0"/>
                <w:tab w:val="left" w:pos="362"/>
              </w:tabs>
              <w:bidi/>
              <w:ind w:left="55" w:hanging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تقويم أداء الطلبة أثناء عملهم في </w:t>
            </w:r>
            <w:proofErr w:type="gramStart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المجموعة .</w:t>
            </w:r>
            <w:proofErr w:type="gramEnd"/>
          </w:p>
          <w:p w:rsidR="00A67BFB" w:rsidRPr="00A67BFB" w:rsidRDefault="00A67BFB" w:rsidP="00A67BFB">
            <w:pPr>
              <w:pStyle w:val="ad"/>
              <w:numPr>
                <w:ilvl w:val="0"/>
                <w:numId w:val="39"/>
              </w:numPr>
              <w:tabs>
                <w:tab w:val="left" w:pos="0"/>
                <w:tab w:val="left" w:pos="362"/>
              </w:tabs>
              <w:bidi/>
              <w:ind w:left="55" w:hanging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proofErr w:type="gramStart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ملاحظة  أداء</w:t>
            </w:r>
            <w:proofErr w:type="gramEnd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الطلبة خلال المناقشات والمناظرات.</w:t>
            </w:r>
          </w:p>
          <w:p w:rsidR="00A67BFB" w:rsidRPr="00A67BFB" w:rsidRDefault="00A67BFB" w:rsidP="00A67BFB">
            <w:pPr>
              <w:pStyle w:val="ad"/>
              <w:numPr>
                <w:ilvl w:val="0"/>
                <w:numId w:val="39"/>
              </w:numPr>
              <w:tabs>
                <w:tab w:val="left" w:pos="0"/>
                <w:tab w:val="left" w:pos="362"/>
              </w:tabs>
              <w:bidi/>
              <w:ind w:left="55" w:hanging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ملاحظة ملف الانجاز ومدى التزام الطالب بجمع ما طلب منه وتسليمه في </w:t>
            </w:r>
            <w:proofErr w:type="gramStart"/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الموعد .</w:t>
            </w:r>
            <w:proofErr w:type="gramEnd"/>
          </w:p>
          <w:p w:rsidR="00E14468" w:rsidRPr="00E8014E" w:rsidRDefault="00E14468" w:rsidP="00A67BFB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A67BFB" w:rsidRPr="00A67BFB" w:rsidRDefault="00A67BFB" w:rsidP="00A67BFB">
            <w:pPr>
              <w:pStyle w:val="ad"/>
              <w:numPr>
                <w:ilvl w:val="0"/>
                <w:numId w:val="41"/>
              </w:numPr>
              <w:tabs>
                <w:tab w:val="left" w:pos="220"/>
                <w:tab w:val="left" w:pos="362"/>
              </w:tabs>
              <w:bidi/>
              <w:ind w:left="78" w:firstLine="67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تقييم أداء الطلبة من خلال الأداء </w:t>
            </w:r>
            <w:proofErr w:type="gramStart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والعرض .</w:t>
            </w:r>
            <w:proofErr w:type="gramEnd"/>
          </w:p>
          <w:p w:rsidR="00A67BFB" w:rsidRPr="00A67BFB" w:rsidRDefault="00A67BFB" w:rsidP="00A67BFB">
            <w:pPr>
              <w:pStyle w:val="ad"/>
              <w:numPr>
                <w:ilvl w:val="0"/>
                <w:numId w:val="41"/>
              </w:numPr>
              <w:tabs>
                <w:tab w:val="left" w:pos="220"/>
                <w:tab w:val="left" w:pos="362"/>
              </w:tabs>
              <w:bidi/>
              <w:ind w:left="78" w:firstLine="67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تقييم الواجبات المنزلية</w:t>
            </w: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</w:t>
            </w:r>
            <w:proofErr w:type="gramStart"/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والبحوث </w:t>
            </w: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</w:t>
            </w:r>
            <w:proofErr w:type="spellStart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المؤداة</w:t>
            </w:r>
            <w:proofErr w:type="spellEnd"/>
            <w:proofErr w:type="gramEnd"/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باستخدام التقنية الحديثة</w:t>
            </w:r>
          </w:p>
          <w:p w:rsidR="00A67BFB" w:rsidRPr="00A67BFB" w:rsidRDefault="00A67BFB" w:rsidP="00A67BFB">
            <w:pPr>
              <w:pStyle w:val="ad"/>
              <w:numPr>
                <w:ilvl w:val="0"/>
                <w:numId w:val="41"/>
              </w:numPr>
              <w:tabs>
                <w:tab w:val="left" w:pos="220"/>
                <w:tab w:val="left" w:pos="362"/>
              </w:tabs>
              <w:bidi/>
              <w:ind w:left="78" w:firstLine="67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A67BFB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تقييم التقارير في الجوانب الكتابية.</w:t>
            </w:r>
          </w:p>
          <w:p w:rsidR="00A67BFB" w:rsidRPr="00A67BFB" w:rsidRDefault="00A67BFB" w:rsidP="00A67BFB">
            <w:pPr>
              <w:pStyle w:val="ad"/>
              <w:numPr>
                <w:ilvl w:val="0"/>
                <w:numId w:val="41"/>
              </w:numPr>
              <w:tabs>
                <w:tab w:val="left" w:pos="220"/>
                <w:tab w:val="left" w:pos="362"/>
              </w:tabs>
              <w:bidi/>
              <w:ind w:left="78" w:firstLine="67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تقييم الجوانب الالكترونية في </w:t>
            </w: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lastRenderedPageBreak/>
              <w:t xml:space="preserve">البحوث العلمية والواجبات المنزلية </w:t>
            </w:r>
          </w:p>
          <w:p w:rsidR="00E14468" w:rsidRPr="00E8014E" w:rsidRDefault="00A67BFB" w:rsidP="00A67BFB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تقييم الجوانب الشفهية </w:t>
            </w:r>
            <w:proofErr w:type="gramStart"/>
            <w:r w:rsidRPr="00A67BFB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والكتابية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bookmarkStart w:id="0" w:name="LastPosition"/>
            <w:bookmarkEnd w:id="0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B173C4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B173C4" w:rsidRPr="00B173C4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173C4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B173C4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B173C4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B173C4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B173C4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B173C4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B173C4" w:rsidRDefault="00B173C4" w:rsidP="00B173C4">
      <w:pPr>
        <w:jc w:val="right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B173C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مصفوفة </w:t>
      </w:r>
      <w:proofErr w:type="gramStart"/>
      <w:r w:rsidRPr="00B173C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الاختبار :</w:t>
      </w:r>
      <w:proofErr w:type="gramEnd"/>
    </w:p>
    <w:p w:rsidR="00B173C4" w:rsidRPr="00B173C4" w:rsidRDefault="00B173C4" w:rsidP="00B173C4">
      <w:pPr>
        <w:jc w:val="right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الإدراكي 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نصيب الجانب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>المعرفي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التقريبية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المستحقة من 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الوزن النسبي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للموضوع 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1E2377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bidi/>
              <w:spacing w:line="40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مبادئ علم </w:t>
            </w:r>
            <w:proofErr w:type="gramStart"/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>الفقه,</w:t>
            </w:r>
            <w:proofErr w:type="gramEnd"/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وخصائصه.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bidi/>
              <w:spacing w:line="40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>أثر عصر النبوة في تأسيس الفقه.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bidi/>
              <w:spacing w:line="40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>أثر عصر الصحابة والتابعين في الفقه.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pStyle w:val="7"/>
              <w:bidi/>
              <w:spacing w:before="0" w:after="0"/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</w:pPr>
            <w:r w:rsidRPr="001E2377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الفقه في عصر الأئمة المجتهدين.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bidi/>
              <w:spacing w:line="40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>الفقه بعد عصر الأئمة المجتهدين.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bidi/>
              <w:spacing w:line="40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>الفقه في العصر الحاضر.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pStyle w:val="7"/>
              <w:bidi/>
              <w:spacing w:before="0" w:after="0"/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</w:pPr>
            <w:r w:rsidRPr="001E2377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معالم المذهب الحنفي.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pStyle w:val="7"/>
              <w:bidi/>
              <w:spacing w:before="0" w:after="0"/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</w:pPr>
            <w:r w:rsidRPr="001E2377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معالم المذهب المالكي.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E2377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  <w:lang w:val="en-US"/>
              </w:rPr>
              <w:t>معالم المذهب الشافعي</w:t>
            </w:r>
            <w:r w:rsidRPr="001E2377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D647D" w:rsidRPr="001E2377" w:rsidRDefault="007D647D" w:rsidP="009B535C">
            <w:pPr>
              <w:pStyle w:val="7"/>
              <w:bidi/>
              <w:spacing w:before="0" w:after="0"/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</w:pPr>
            <w:r w:rsidRPr="001E2377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معالم المذهب الحنبلي.</w:t>
            </w:r>
          </w:p>
          <w:p w:rsidR="007D647D" w:rsidRPr="001E2377" w:rsidRDefault="007D647D" w:rsidP="009B535C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7D647D" w:rsidRPr="00B66391" w:rsidTr="007D647D">
        <w:tc>
          <w:tcPr>
            <w:tcW w:w="993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7D647D" w:rsidRPr="00B66391" w:rsidRDefault="007D647D" w:rsidP="009B535C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7D647D" w:rsidRDefault="007D647D" w:rsidP="009B535C">
            <w:pPr>
              <w:pStyle w:val="7"/>
              <w:bidi/>
              <w:spacing w:before="0" w:after="0"/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</w:pPr>
            <w:r w:rsidRPr="001E2377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المجموع</w:t>
            </w:r>
          </w:p>
          <w:p w:rsidR="007D647D" w:rsidRPr="001E2377" w:rsidRDefault="007D647D" w:rsidP="009B535C">
            <w:pPr>
              <w:bidi/>
              <w:rPr>
                <w:rFonts w:eastAsia="Calibri"/>
                <w:rtl/>
                <w:lang w:val="en-US" w:eastAsia="ar-SA"/>
              </w:rPr>
            </w:pPr>
          </w:p>
        </w:tc>
      </w:tr>
    </w:tbl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6E365D" w:rsidRDefault="006E365D" w:rsidP="006E36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6E365D" w:rsidRPr="006E365D" w:rsidRDefault="006E365D" w:rsidP="006E365D">
      <w:pPr>
        <w:jc w:val="center"/>
        <w:rPr>
          <w:sz w:val="28"/>
          <w:szCs w:val="28"/>
          <w:rtl/>
        </w:rPr>
      </w:pPr>
      <w:bookmarkStart w:id="1" w:name="_GoBack"/>
      <w:r w:rsidRPr="006E365D">
        <w:rPr>
          <w:rFonts w:cs="PT Bold Heading" w:hint="cs"/>
          <w:sz w:val="28"/>
          <w:szCs w:val="28"/>
          <w:rtl/>
        </w:rPr>
        <w:t xml:space="preserve">كشف النتائج لقياس مخرج التعلم (إذا كان </w:t>
      </w:r>
      <w:proofErr w:type="gramStart"/>
      <w:r w:rsidRPr="006E365D">
        <w:rPr>
          <w:rFonts w:cs="PT Bold Heading" w:hint="cs"/>
          <w:sz w:val="28"/>
          <w:szCs w:val="28"/>
          <w:rtl/>
        </w:rPr>
        <w:t>مطلوبا )</w:t>
      </w:r>
      <w:proofErr w:type="gramEnd"/>
      <w:r w:rsidRPr="006E365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6E365D" w:rsidRDefault="006E365D" w:rsidP="006E365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6E365D" w:rsidRPr="001A6CDD" w:rsidRDefault="006E365D" w:rsidP="006E365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6E365D" w:rsidRPr="006E365D" w:rsidRDefault="006E365D" w:rsidP="006E365D">
      <w:pPr>
        <w:pStyle w:val="ad"/>
        <w:numPr>
          <w:ilvl w:val="0"/>
          <w:numId w:val="42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6E365D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6E365D" w:rsidRPr="006E365D" w:rsidRDefault="006E365D" w:rsidP="006E365D">
      <w:pPr>
        <w:pStyle w:val="ad"/>
        <w:numPr>
          <w:ilvl w:val="0"/>
          <w:numId w:val="42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6E365D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6E365D" w:rsidRPr="006E365D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365D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6E365D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6E365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6E365D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E365D" w:rsidRPr="006E365D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5D" w:rsidRPr="006E365D" w:rsidRDefault="006E365D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E365D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6E365D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5D" w:rsidRPr="006E365D" w:rsidRDefault="006E365D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6E365D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6E365D" w:rsidRPr="006E365D" w:rsidRDefault="006E365D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6E365D" w:rsidRPr="006E365D" w:rsidRDefault="006E365D" w:rsidP="006E365D">
      <w:pPr>
        <w:rPr>
          <w:sz w:val="28"/>
          <w:szCs w:val="28"/>
          <w:rtl/>
        </w:rPr>
      </w:pPr>
    </w:p>
    <w:p w:rsidR="006E365D" w:rsidRPr="006E365D" w:rsidRDefault="006E365D" w:rsidP="006E365D">
      <w:pPr>
        <w:pStyle w:val="ad"/>
        <w:numPr>
          <w:ilvl w:val="0"/>
          <w:numId w:val="43"/>
        </w:numPr>
        <w:bidi/>
        <w:spacing w:line="259" w:lineRule="auto"/>
        <w:rPr>
          <w:sz w:val="28"/>
          <w:szCs w:val="28"/>
        </w:rPr>
      </w:pPr>
      <w:r w:rsidRPr="006E365D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6E365D">
        <w:rPr>
          <w:b/>
          <w:bCs/>
          <w:sz w:val="28"/>
          <w:szCs w:val="28"/>
          <w:rtl/>
        </w:rPr>
        <w:t xml:space="preserve">الكلية </w:t>
      </w:r>
      <w:r w:rsidRPr="006E365D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6E365D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6E365D">
        <w:rPr>
          <w:b/>
          <w:bCs/>
          <w:sz w:val="28"/>
          <w:szCs w:val="28"/>
          <w:rtl/>
        </w:rPr>
        <w:t>المستوى الفعلي:</w:t>
      </w:r>
      <w:r w:rsidRPr="006E365D">
        <w:rPr>
          <w:rFonts w:hint="cs"/>
          <w:b/>
          <w:bCs/>
          <w:sz w:val="28"/>
          <w:szCs w:val="28"/>
          <w:rtl/>
        </w:rPr>
        <w:t xml:space="preserve"> </w:t>
      </w:r>
    </w:p>
    <w:p w:rsidR="006E365D" w:rsidRPr="006E365D" w:rsidRDefault="006E365D" w:rsidP="006E365D">
      <w:pPr>
        <w:pStyle w:val="ad"/>
        <w:numPr>
          <w:ilvl w:val="0"/>
          <w:numId w:val="43"/>
        </w:numPr>
        <w:bidi/>
        <w:spacing w:line="259" w:lineRule="auto"/>
        <w:rPr>
          <w:sz w:val="28"/>
          <w:szCs w:val="28"/>
        </w:rPr>
      </w:pPr>
      <w:r w:rsidRPr="006E365D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6E365D">
        <w:rPr>
          <w:rFonts w:hint="cs"/>
          <w:sz w:val="28"/>
          <w:szCs w:val="28"/>
          <w:rtl/>
        </w:rPr>
        <w:t>(</w:t>
      </w:r>
      <w:r w:rsidRPr="006E365D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6E365D">
        <w:rPr>
          <w:rFonts w:hint="cs"/>
          <w:sz w:val="28"/>
          <w:szCs w:val="28"/>
          <w:rtl/>
        </w:rPr>
        <w:t>):</w:t>
      </w:r>
    </w:p>
    <w:p w:rsidR="006E365D" w:rsidRPr="006E365D" w:rsidRDefault="006E365D" w:rsidP="006E365D">
      <w:pPr>
        <w:pStyle w:val="ad"/>
        <w:numPr>
          <w:ilvl w:val="0"/>
          <w:numId w:val="44"/>
        </w:numPr>
        <w:bidi/>
        <w:spacing w:line="259" w:lineRule="auto"/>
        <w:rPr>
          <w:sz w:val="28"/>
          <w:szCs w:val="28"/>
          <w:rtl/>
        </w:rPr>
      </w:pPr>
      <w:r w:rsidRPr="006E365D">
        <w:rPr>
          <w:rFonts w:hint="cs"/>
          <w:b/>
          <w:bCs/>
          <w:sz w:val="28"/>
          <w:szCs w:val="28"/>
          <w:rtl/>
        </w:rPr>
        <w:t>أولويات التحسين:</w:t>
      </w:r>
      <w:r w:rsidRPr="006E365D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bookmarkEnd w:id="1"/>
    <w:p w:rsidR="006E365D" w:rsidRDefault="006E365D" w:rsidP="006E365D"/>
    <w:p w:rsidR="006E365D" w:rsidRPr="006E365D" w:rsidRDefault="006E365D" w:rsidP="006E365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6E365D" w:rsidRPr="00E8014E" w:rsidRDefault="006E365D" w:rsidP="006E365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FD" w:rsidRDefault="00C972FD">
      <w:r>
        <w:separator/>
      </w:r>
    </w:p>
  </w:endnote>
  <w:endnote w:type="continuationSeparator" w:id="0">
    <w:p w:rsidR="00C972FD" w:rsidRDefault="00C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4B" w:rsidRPr="00E85FEB" w:rsidRDefault="0010524B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0524B" w:rsidRDefault="005E416A" w:rsidP="00A97885">
    <w:pPr>
      <w:pStyle w:val="a3"/>
      <w:bidi/>
      <w:jc w:val="right"/>
    </w:pPr>
    <w:r>
      <w:fldChar w:fldCharType="begin"/>
    </w:r>
    <w:r w:rsidR="0010524B">
      <w:instrText xml:space="preserve"> PAGE   \* MERGEFORMAT </w:instrText>
    </w:r>
    <w:r>
      <w:fldChar w:fldCharType="separate"/>
    </w:r>
    <w:r w:rsidR="007E334F" w:rsidRPr="007E334F">
      <w:rPr>
        <w:noProof/>
        <w:rtl/>
        <w:lang w:val="ar-SA"/>
      </w:rPr>
      <w:t>15</w:t>
    </w:r>
    <w:r>
      <w:rPr>
        <w:noProof/>
        <w:lang w:val="ar-SA"/>
      </w:rPr>
      <w:fldChar w:fldCharType="end"/>
    </w:r>
  </w:p>
  <w:p w:rsidR="0010524B" w:rsidRPr="0094487B" w:rsidRDefault="0010524B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4B" w:rsidRPr="00BD314D" w:rsidRDefault="0010524B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0524B" w:rsidRDefault="0010524B" w:rsidP="003A369E">
    <w:pPr>
      <w:pStyle w:val="a3"/>
      <w:bidi/>
    </w:pPr>
  </w:p>
  <w:p w:rsidR="0010524B" w:rsidRDefault="001052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FD" w:rsidRDefault="00C972FD">
      <w:r>
        <w:separator/>
      </w:r>
    </w:p>
  </w:footnote>
  <w:footnote w:type="continuationSeparator" w:id="0">
    <w:p w:rsidR="00C972FD" w:rsidRDefault="00C9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4B" w:rsidRDefault="0010524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24B" w:rsidRPr="00E9121F" w:rsidRDefault="0010524B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35"/>
    <w:multiLevelType w:val="hybridMultilevel"/>
    <w:tmpl w:val="4894DDD6"/>
    <w:lvl w:ilvl="0" w:tplc="F6024A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2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D091EC">
      <w:start w:val="1"/>
      <w:numFmt w:val="lowerRoman"/>
      <w:lvlText w:val="%3."/>
      <w:lvlJc w:val="left"/>
      <w:pPr>
        <w:ind w:left="216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806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EA2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282DE">
      <w:start w:val="1"/>
      <w:numFmt w:val="lowerRoman"/>
      <w:lvlText w:val="%6."/>
      <w:lvlJc w:val="left"/>
      <w:pPr>
        <w:ind w:left="43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26E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8B5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A4690">
      <w:start w:val="1"/>
      <w:numFmt w:val="lowerRoman"/>
      <w:lvlText w:val="%9."/>
      <w:lvlJc w:val="left"/>
      <w:pPr>
        <w:ind w:left="648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990768"/>
    <w:multiLevelType w:val="hybridMultilevel"/>
    <w:tmpl w:val="88FEEBF8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797948"/>
    <w:multiLevelType w:val="hybridMultilevel"/>
    <w:tmpl w:val="0268CBF6"/>
    <w:lvl w:ilvl="0" w:tplc="A4D62A52">
      <w:start w:val="1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336B"/>
    <w:multiLevelType w:val="hybridMultilevel"/>
    <w:tmpl w:val="4296F398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54"/>
    <w:multiLevelType w:val="hybridMultilevel"/>
    <w:tmpl w:val="FFDC475E"/>
    <w:lvl w:ilvl="0" w:tplc="180E24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36B35"/>
    <w:multiLevelType w:val="hybridMultilevel"/>
    <w:tmpl w:val="457ABF0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E1BFD"/>
    <w:multiLevelType w:val="hybridMultilevel"/>
    <w:tmpl w:val="1D6864CE"/>
    <w:lvl w:ilvl="0" w:tplc="1E840E9E">
      <w:start w:val="11"/>
      <w:numFmt w:val="decimal"/>
      <w:lvlText w:val="%1-"/>
      <w:lvlJc w:val="left"/>
      <w:pPr>
        <w:ind w:left="12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B1960"/>
    <w:multiLevelType w:val="hybridMultilevel"/>
    <w:tmpl w:val="653C1CFE"/>
    <w:lvl w:ilvl="0" w:tplc="A07A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46C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AB04">
      <w:start w:val="1"/>
      <w:numFmt w:val="lowerRoman"/>
      <w:lvlText w:val="%3."/>
      <w:lvlJc w:val="left"/>
      <w:pPr>
        <w:ind w:left="216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25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A20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2A8DC">
      <w:start w:val="1"/>
      <w:numFmt w:val="lowerRoman"/>
      <w:lvlText w:val="%6."/>
      <w:lvlJc w:val="left"/>
      <w:pPr>
        <w:ind w:left="43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63A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EB5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676DC">
      <w:start w:val="1"/>
      <w:numFmt w:val="lowerRoman"/>
      <w:lvlText w:val="%9."/>
      <w:lvlJc w:val="left"/>
      <w:pPr>
        <w:ind w:left="648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E726C0"/>
    <w:multiLevelType w:val="hybridMultilevel"/>
    <w:tmpl w:val="78DAE13C"/>
    <w:lvl w:ilvl="0" w:tplc="3DD8FF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9AFA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467A8">
      <w:start w:val="1"/>
      <w:numFmt w:val="lowerRoman"/>
      <w:lvlText w:val="%3."/>
      <w:lvlJc w:val="left"/>
      <w:pPr>
        <w:ind w:left="216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8D6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C95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43D9C">
      <w:start w:val="1"/>
      <w:numFmt w:val="lowerRoman"/>
      <w:lvlText w:val="%6."/>
      <w:lvlJc w:val="left"/>
      <w:pPr>
        <w:ind w:left="43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C64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AA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8246">
      <w:start w:val="1"/>
      <w:numFmt w:val="lowerRoman"/>
      <w:lvlText w:val="%9."/>
      <w:lvlJc w:val="left"/>
      <w:pPr>
        <w:ind w:left="648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0642FF"/>
    <w:multiLevelType w:val="hybridMultilevel"/>
    <w:tmpl w:val="5908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6759D"/>
    <w:multiLevelType w:val="hybridMultilevel"/>
    <w:tmpl w:val="91F4CD68"/>
    <w:lvl w:ilvl="0" w:tplc="8E442C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90E9D"/>
    <w:multiLevelType w:val="hybridMultilevel"/>
    <w:tmpl w:val="707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46853"/>
    <w:multiLevelType w:val="hybridMultilevel"/>
    <w:tmpl w:val="1D70D660"/>
    <w:lvl w:ilvl="0" w:tplc="A9DA99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E7F96">
      <w:start w:val="1"/>
      <w:numFmt w:val="decimal"/>
      <w:lvlText w:val="%2."/>
      <w:lvlJc w:val="left"/>
      <w:pPr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AFB42">
      <w:start w:val="1"/>
      <w:numFmt w:val="lowerRoman"/>
      <w:lvlText w:val="%3."/>
      <w:lvlJc w:val="left"/>
      <w:pPr>
        <w:ind w:left="116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EA52C">
      <w:start w:val="1"/>
      <w:numFmt w:val="decimal"/>
      <w:lvlText w:val="%4."/>
      <w:lvlJc w:val="left"/>
      <w:pPr>
        <w:ind w:left="1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26964C">
      <w:start w:val="1"/>
      <w:numFmt w:val="lowerLetter"/>
      <w:lvlText w:val="%5."/>
      <w:lvlJc w:val="left"/>
      <w:pPr>
        <w:ind w:left="2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CC0D2">
      <w:start w:val="1"/>
      <w:numFmt w:val="lowerRoman"/>
      <w:lvlText w:val="%6."/>
      <w:lvlJc w:val="left"/>
      <w:pPr>
        <w:ind w:left="332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A629E">
      <w:start w:val="1"/>
      <w:numFmt w:val="decimal"/>
      <w:lvlText w:val="%7."/>
      <w:lvlJc w:val="left"/>
      <w:pPr>
        <w:ind w:left="4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E5FFC">
      <w:start w:val="1"/>
      <w:numFmt w:val="lowerLetter"/>
      <w:lvlText w:val="%8."/>
      <w:lvlJc w:val="left"/>
      <w:pPr>
        <w:ind w:left="4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81BCC">
      <w:start w:val="1"/>
      <w:numFmt w:val="lowerRoman"/>
      <w:lvlText w:val="%9."/>
      <w:lvlJc w:val="left"/>
      <w:pPr>
        <w:ind w:left="548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1CB4440"/>
    <w:multiLevelType w:val="hybridMultilevel"/>
    <w:tmpl w:val="345E75E0"/>
    <w:lvl w:ilvl="0" w:tplc="B218B5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DA4A">
      <w:start w:val="1"/>
      <w:numFmt w:val="decimal"/>
      <w:lvlText w:val="%2."/>
      <w:lvlJc w:val="left"/>
      <w:pPr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C6A6A">
      <w:start w:val="1"/>
      <w:numFmt w:val="lowerRoman"/>
      <w:lvlText w:val="%3."/>
      <w:lvlJc w:val="left"/>
      <w:pPr>
        <w:ind w:left="116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7B0">
      <w:start w:val="1"/>
      <w:numFmt w:val="decimal"/>
      <w:lvlText w:val="%4."/>
      <w:lvlJc w:val="left"/>
      <w:pPr>
        <w:ind w:left="1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2186E">
      <w:start w:val="1"/>
      <w:numFmt w:val="lowerLetter"/>
      <w:lvlText w:val="%5."/>
      <w:lvlJc w:val="left"/>
      <w:pPr>
        <w:ind w:left="2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644CA">
      <w:start w:val="1"/>
      <w:numFmt w:val="lowerRoman"/>
      <w:lvlText w:val="%6."/>
      <w:lvlJc w:val="left"/>
      <w:pPr>
        <w:ind w:left="332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04D56">
      <w:start w:val="1"/>
      <w:numFmt w:val="decimal"/>
      <w:lvlText w:val="%7."/>
      <w:lvlJc w:val="left"/>
      <w:pPr>
        <w:ind w:left="4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0B9FC">
      <w:start w:val="1"/>
      <w:numFmt w:val="lowerLetter"/>
      <w:lvlText w:val="%8."/>
      <w:lvlJc w:val="left"/>
      <w:pPr>
        <w:ind w:left="4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438C0">
      <w:start w:val="1"/>
      <w:numFmt w:val="lowerRoman"/>
      <w:lvlText w:val="%9."/>
      <w:lvlJc w:val="left"/>
      <w:pPr>
        <w:ind w:left="548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6"/>
  </w:num>
  <w:num w:numId="5">
    <w:abstractNumId w:val="27"/>
  </w:num>
  <w:num w:numId="6">
    <w:abstractNumId w:val="5"/>
  </w:num>
  <w:num w:numId="7">
    <w:abstractNumId w:val="23"/>
  </w:num>
  <w:num w:numId="8">
    <w:abstractNumId w:val="17"/>
  </w:num>
  <w:num w:numId="9">
    <w:abstractNumId w:val="7"/>
  </w:num>
  <w:num w:numId="10">
    <w:abstractNumId w:val="33"/>
  </w:num>
  <w:num w:numId="11">
    <w:abstractNumId w:val="15"/>
  </w:num>
  <w:num w:numId="12">
    <w:abstractNumId w:val="37"/>
  </w:num>
  <w:num w:numId="13">
    <w:abstractNumId w:val="40"/>
  </w:num>
  <w:num w:numId="14">
    <w:abstractNumId w:val="12"/>
  </w:num>
  <w:num w:numId="15">
    <w:abstractNumId w:val="8"/>
  </w:num>
  <w:num w:numId="16">
    <w:abstractNumId w:val="32"/>
  </w:num>
  <w:num w:numId="17">
    <w:abstractNumId w:val="35"/>
  </w:num>
  <w:num w:numId="18">
    <w:abstractNumId w:val="13"/>
  </w:num>
  <w:num w:numId="19">
    <w:abstractNumId w:val="29"/>
  </w:num>
  <w:num w:numId="20">
    <w:abstractNumId w:val="2"/>
  </w:num>
  <w:num w:numId="21">
    <w:abstractNumId w:val="21"/>
  </w:num>
  <w:num w:numId="22">
    <w:abstractNumId w:val="22"/>
  </w:num>
  <w:num w:numId="23">
    <w:abstractNumId w:val="16"/>
  </w:num>
  <w:num w:numId="24">
    <w:abstractNumId w:val="34"/>
  </w:num>
  <w:num w:numId="25">
    <w:abstractNumId w:val="24"/>
  </w:num>
  <w:num w:numId="26">
    <w:abstractNumId w:val="24"/>
    <w:lvlOverride w:ilvl="0">
      <w:lvl w:ilvl="0" w:tplc="A07ADC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246C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8AB04">
        <w:start w:val="1"/>
        <w:numFmt w:val="lowerRoman"/>
        <w:lvlText w:val="%3."/>
        <w:lvlJc w:val="left"/>
        <w:pPr>
          <w:ind w:left="216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525D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A20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22A8DC">
        <w:start w:val="1"/>
        <w:numFmt w:val="lowerRoman"/>
        <w:lvlText w:val="%6."/>
        <w:lvlJc w:val="left"/>
        <w:pPr>
          <w:ind w:left="432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563A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4EB5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76DC">
        <w:start w:val="1"/>
        <w:numFmt w:val="lowerRoman"/>
        <w:lvlText w:val="%9."/>
        <w:lvlJc w:val="left"/>
        <w:pPr>
          <w:ind w:left="648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</w:num>
  <w:num w:numId="28">
    <w:abstractNumId w:val="25"/>
    <w:lvlOverride w:ilvl="0">
      <w:startOverride w:val="11"/>
    </w:lvlOverride>
  </w:num>
  <w:num w:numId="29">
    <w:abstractNumId w:val="3"/>
  </w:num>
  <w:num w:numId="30">
    <w:abstractNumId w:val="20"/>
  </w:num>
  <w:num w:numId="31">
    <w:abstractNumId w:val="31"/>
  </w:num>
  <w:num w:numId="32">
    <w:abstractNumId w:val="38"/>
  </w:num>
  <w:num w:numId="33">
    <w:abstractNumId w:val="38"/>
    <w:lvlOverride w:ilvl="0">
      <w:startOverride w:val="2"/>
    </w:lvlOverride>
  </w:num>
  <w:num w:numId="34">
    <w:abstractNumId w:val="39"/>
  </w:num>
  <w:num w:numId="35">
    <w:abstractNumId w:val="39"/>
    <w:lvlOverride w:ilvl="0">
      <w:startOverride w:val="5"/>
    </w:lvlOverride>
  </w:num>
  <w:num w:numId="36">
    <w:abstractNumId w:val="10"/>
  </w:num>
  <w:num w:numId="37">
    <w:abstractNumId w:val="11"/>
  </w:num>
  <w:num w:numId="38">
    <w:abstractNumId w:val="14"/>
  </w:num>
  <w:num w:numId="39">
    <w:abstractNumId w:val="1"/>
  </w:num>
  <w:num w:numId="40">
    <w:abstractNumId w:val="36"/>
  </w:num>
  <w:num w:numId="41">
    <w:abstractNumId w:val="26"/>
  </w:num>
  <w:num w:numId="42">
    <w:abstractNumId w:val="9"/>
  </w:num>
  <w:num w:numId="43">
    <w:abstractNumId w:val="30"/>
  </w:num>
  <w:num w:numId="4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1AA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3AF8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F4A"/>
    <w:rsid w:val="000F50D6"/>
    <w:rsid w:val="000F5DBC"/>
    <w:rsid w:val="000F61E5"/>
    <w:rsid w:val="000F6A9C"/>
    <w:rsid w:val="000F7DF5"/>
    <w:rsid w:val="000F7E8C"/>
    <w:rsid w:val="00100689"/>
    <w:rsid w:val="0010078E"/>
    <w:rsid w:val="00100A10"/>
    <w:rsid w:val="001014F0"/>
    <w:rsid w:val="0010169C"/>
    <w:rsid w:val="0010471B"/>
    <w:rsid w:val="00104870"/>
    <w:rsid w:val="0010524B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4D80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378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0C74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CF2"/>
    <w:rsid w:val="001F6EC0"/>
    <w:rsid w:val="001F7DBB"/>
    <w:rsid w:val="00200306"/>
    <w:rsid w:val="00200509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091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2C04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BF8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9F9"/>
    <w:rsid w:val="002B3909"/>
    <w:rsid w:val="002B39F2"/>
    <w:rsid w:val="002B3CF7"/>
    <w:rsid w:val="002B4205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B34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005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1EF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4A1E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1322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E7EC5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9C7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49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16A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8CA"/>
    <w:rsid w:val="005F7DDF"/>
    <w:rsid w:val="006004F4"/>
    <w:rsid w:val="00603DD9"/>
    <w:rsid w:val="00604D34"/>
    <w:rsid w:val="00606305"/>
    <w:rsid w:val="006069F5"/>
    <w:rsid w:val="0060754A"/>
    <w:rsid w:val="00607E77"/>
    <w:rsid w:val="006104F4"/>
    <w:rsid w:val="00612596"/>
    <w:rsid w:val="00612C7E"/>
    <w:rsid w:val="0061376D"/>
    <w:rsid w:val="006138C9"/>
    <w:rsid w:val="0061422F"/>
    <w:rsid w:val="00614AC6"/>
    <w:rsid w:val="00614DB5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39C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4D8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074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A7B77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309"/>
    <w:rsid w:val="006D79C6"/>
    <w:rsid w:val="006E0200"/>
    <w:rsid w:val="006E050E"/>
    <w:rsid w:val="006E0BD2"/>
    <w:rsid w:val="006E17FD"/>
    <w:rsid w:val="006E365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050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E0E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5F6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2C53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647D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4F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ADB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7F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9AC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A88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E5A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104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B9D"/>
    <w:rsid w:val="008C7DB7"/>
    <w:rsid w:val="008D1031"/>
    <w:rsid w:val="008D1554"/>
    <w:rsid w:val="008D1AF0"/>
    <w:rsid w:val="008D1F1A"/>
    <w:rsid w:val="008D3ABF"/>
    <w:rsid w:val="008D3C20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1B7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1F62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77FD5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29C9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30EA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316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67BFB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03C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3C4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BA2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770"/>
    <w:rsid w:val="00B85B75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379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47396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BD5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2FD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3962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3CC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73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1A8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13B1"/>
    <w:rsid w:val="00DB2843"/>
    <w:rsid w:val="00DB2853"/>
    <w:rsid w:val="00DB3067"/>
    <w:rsid w:val="00DB3F72"/>
    <w:rsid w:val="00DB4B21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412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2EB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0F95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759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0678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39D0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87743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A7EE7"/>
    <w:rsid w:val="00FB0C79"/>
    <w:rsid w:val="00FB1469"/>
    <w:rsid w:val="00FB151D"/>
    <w:rsid w:val="00FB1B84"/>
    <w:rsid w:val="00FB1F99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5BCD4F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6E36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ECD3B-2D60-4D83-BBEA-86A0D9CE50CB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F7CD06-D452-4330-8B89-A7E43FAC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2308</Words>
  <Characters>13161</Characters>
  <Application>Microsoft Office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8</cp:revision>
  <cp:lastPrinted>2016-01-19T12:24:00Z</cp:lastPrinted>
  <dcterms:created xsi:type="dcterms:W3CDTF">2018-03-25T13:58:00Z</dcterms:created>
  <dcterms:modified xsi:type="dcterms:W3CDTF">2019-03-06T17:39:00Z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