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A86107" w:rsidRPr="00A86107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A86107" w:rsidRPr="00A86107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العبادات 1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A86107" w:rsidRPr="00A86107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gramEnd"/>
      <w:r w:rsidR="00A86107" w:rsidRPr="00A86107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115</w:t>
      </w:r>
    </w:p>
    <w:p w:rsidR="009422AA" w:rsidRDefault="009422AA" w:rsidP="009422AA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أستاذ المقرر:</w:t>
      </w:r>
    </w:p>
    <w:p w:rsidR="009422AA" w:rsidRPr="00E8014E" w:rsidRDefault="009422AA" w:rsidP="009422AA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الشعبة: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C11C6A"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  </w:t>
            </w:r>
            <w:proofErr w:type="gramEnd"/>
            <w:r w:rsidR="00C11C6A"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 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  <w:r w:rsidR="00E8014E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العبادات (1)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E7C33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 115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E8014E" w:rsidRDefault="00BA371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E801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870B5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مقدمة مختصرة عن نشأة علم الفقه </w:t>
            </w:r>
            <w:proofErr w:type="gramStart"/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وأهميته </w:t>
            </w:r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  <w:t>:</w:t>
            </w:r>
            <w:proofErr w:type="gramEnd"/>
          </w:p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- تعريف علم الفقه </w:t>
            </w:r>
          </w:p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- حكم تعلمه وفضله </w:t>
            </w:r>
          </w:p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- أهمية علم الفقه</w:t>
            </w:r>
          </w:p>
          <w:p w:rsidR="00E14468" w:rsidRPr="00134897" w:rsidRDefault="00E14468" w:rsidP="00870B51">
            <w:pPr>
              <w:pStyle w:val="ad"/>
              <w:bidi/>
              <w:rPr>
                <w:rFonts w:ascii="Traditional Arabic" w:eastAsia="Calibri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معنى الطهارة، وأنواعها، وأحكام الماء المتطهر به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  <w:r w:rsidRPr="0013489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- الطهارة: </w:t>
            </w:r>
          </w:p>
          <w:p w:rsidR="00E14468" w:rsidRPr="00134897" w:rsidRDefault="00E14468" w:rsidP="00870B5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أنواع الآنية، وأحكام </w:t>
            </w:r>
            <w:proofErr w:type="gramStart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استعمالها </w:t>
            </w: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:</w:t>
            </w:r>
            <w:proofErr w:type="gramEnd"/>
          </w:p>
          <w:p w:rsidR="00E14468" w:rsidRPr="00134897" w:rsidRDefault="00E14468" w:rsidP="00870B5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E144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أنواع الآنية، وأحكام </w:t>
            </w:r>
            <w:proofErr w:type="gramStart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استعمالها </w:t>
            </w: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:</w:t>
            </w:r>
            <w:proofErr w:type="gramEnd"/>
          </w:p>
          <w:p w:rsidR="00E14468" w:rsidRPr="00E14468" w:rsidRDefault="00E14468" w:rsidP="00E144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الاستنجاء والاستجمار، وآدابهما</w:t>
            </w: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سنن الفطرة، وأحكام السواك</w:t>
            </w: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:</w:t>
            </w:r>
          </w:p>
          <w:p w:rsidR="00E14468" w:rsidRPr="00E14468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الوضوء، وفروضه، وشروطه، وسننه، ونواقضه.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E14468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الوضوء، وفروضه، وشروطه، وسننه، ونواقضه.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موجبات </w:t>
            </w:r>
            <w:proofErr w:type="spellStart"/>
            <w:proofErr w:type="gramStart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الغسل،وصفته</w:t>
            </w:r>
            <w:proofErr w:type="gramEnd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،وأحكامه</w:t>
            </w:r>
            <w:proofErr w:type="spellEnd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موجبات </w:t>
            </w:r>
            <w:proofErr w:type="spellStart"/>
            <w:proofErr w:type="gramStart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الغسل،وصفته</w:t>
            </w:r>
            <w:proofErr w:type="gramEnd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،وأحكامه</w:t>
            </w:r>
            <w:proofErr w:type="spellEnd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134897" w:rsidRDefault="00E14468" w:rsidP="00870B5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E14468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المسح على الخفين والحوائل.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E14468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معنى </w:t>
            </w:r>
            <w:proofErr w:type="spellStart"/>
            <w:proofErr w:type="gramStart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التيمم،وصفته</w:t>
            </w:r>
            <w:proofErr w:type="gramEnd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،وأحكامه</w:t>
            </w:r>
            <w:proofErr w:type="spellEnd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E14468" w:rsidRDefault="00E14468" w:rsidP="00E144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معنى النجاسة، </w:t>
            </w:r>
            <w:proofErr w:type="spellStart"/>
            <w:proofErr w:type="gramStart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وأقسامها،وأحكامها</w:t>
            </w:r>
            <w:proofErr w:type="spellEnd"/>
            <w:proofErr w:type="gramEnd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معنى الحيض والاستحاضة والنفاس، وأحكام كل منها</w:t>
            </w:r>
          </w:p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134897" w:rsidRDefault="00E14468" w:rsidP="00E144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حقيقة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الصلاة، ومشروعيتها، وأحكام النداء لها. </w:t>
            </w:r>
          </w:p>
          <w:p w:rsidR="00E14468" w:rsidRPr="00134897" w:rsidRDefault="00E14468" w:rsidP="00870B5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شروط الصلاة، وأحكام كل </w:t>
            </w:r>
            <w:proofErr w:type="gramStart"/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شرط .</w:t>
            </w:r>
            <w:proofErr w:type="gramEnd"/>
          </w:p>
          <w:p w:rsidR="00E14468" w:rsidRPr="00134897" w:rsidRDefault="00E14468" w:rsidP="00870B5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fr-FR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70B51">
        <w:tc>
          <w:tcPr>
            <w:tcW w:w="4308" w:type="dxa"/>
            <w:vAlign w:val="center"/>
          </w:tcPr>
          <w:p w:rsidR="00E14468" w:rsidRPr="00E14468" w:rsidRDefault="00E14468" w:rsidP="00E14468">
            <w:pPr>
              <w:shd w:val="clear" w:color="auto" w:fill="FFFFFF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صفة الصلاة، وأركانها، وواجباتها، وسننها، وأحكامها.</w:t>
            </w:r>
          </w:p>
        </w:tc>
        <w:tc>
          <w:tcPr>
            <w:tcW w:w="1119" w:type="dxa"/>
            <w:vAlign w:val="center"/>
          </w:tcPr>
          <w:p w:rsidR="00E14468" w:rsidRPr="00E8014E" w:rsidRDefault="00870B5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المواضيع التي نقص </w:t>
            </w:r>
            <w:proofErr w:type="gram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عدد  الساعات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lastRenderedPageBreak/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870B5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المياه.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870B5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الطهارة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870B5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يستعرض كيفية الطهارة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870B5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أحكام الصلاة.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870B5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أركان الصلاة.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870B5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 يستعرض صفة الصلاة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870B51" w:rsidRPr="00E8014E" w:rsidTr="00E14468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تحليل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870B51" w:rsidRPr="00E8014E" w:rsidRDefault="00870B51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870B51" w:rsidRPr="00E8014E" w:rsidRDefault="00870B51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870B51" w:rsidRPr="00E8014E" w:rsidTr="00E14468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أن يكون الطالب قادرًا على إبداء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 w:hint="cs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رأيه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وتمحيص المعلومة.</w:t>
            </w:r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870B51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  <w:vAlign w:val="center"/>
          </w:tcPr>
          <w:p w:rsidR="00870B51" w:rsidRPr="00437BAE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lang w:val="en-US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>أن ي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كون الطالب قادرًا على إظهار 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  <w:t>تعاملا حسنا مع الخلاف وأنواعه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870B51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  <w:vAlign w:val="center"/>
          </w:tcPr>
          <w:p w:rsidR="00870B51" w:rsidRPr="00437BAE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lang w:val="en-US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الطلاب قادرًا على استنباط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سبب الخلاف </w:t>
            </w:r>
            <w:proofErr w:type="gramStart"/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  <w:t>وثمرته .</w:t>
            </w:r>
            <w:proofErr w:type="gramEnd"/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تنزيل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المسائل على الواقع بعد تصورها.</w:t>
            </w:r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870B51" w:rsidRPr="00437BAE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الموازنة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بين الأقوال </w:t>
            </w:r>
            <w:proofErr w:type="gramStart"/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  <w:t>والأدلة .</w:t>
            </w:r>
            <w:proofErr w:type="gramEnd"/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2.7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إتقان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مدركًا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 w:hint="cs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870B51" w:rsidRPr="00437BAE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استنباط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870B51" w:rsidRPr="00437BAE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تطبيق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96" w:type="dxa"/>
            <w:vMerge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870B5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870B51" w:rsidRPr="00437BAE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</w:pP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أن يكون الطالب قادرًا على صياغة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Pr="00E14468" w:rsidRDefault="00870B51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870B51" w:rsidRPr="00437BA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17365D" w:themeColor="text2" w:themeShade="BF"/>
                <w:sz w:val="36"/>
                <w:szCs w:val="36"/>
              </w:rPr>
            </w:pPr>
            <w:r w:rsidRPr="00437BAE"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التفاعل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870B51" w:rsidRPr="00E8014E" w:rsidRDefault="00870B51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.</w:t>
            </w:r>
          </w:p>
          <w:p w:rsidR="00870B51" w:rsidRPr="00E8014E" w:rsidRDefault="00870B51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870B51" w:rsidRPr="00E8014E" w:rsidRDefault="00870B51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منه وتسليمه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 xml:space="preserve">في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الموعد .</w:t>
            </w:r>
            <w:proofErr w:type="gramEnd"/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المساهمة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870B51" w:rsidRPr="00E8014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الطب قادرًا على تقبل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870B51" w:rsidRPr="00E8014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يكون الطالب قادرًا على الالتزام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870B51" w:rsidRPr="00E8014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الالتزام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870B51" w:rsidRPr="00E8014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تحمل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437BAE">
              <w:rPr>
                <w:rFonts w:ascii="Traditional Arabic" w:eastAsia="AL-Mohanad Bold" w:hAnsi="Traditional Arabic" w:cs="Traditional Arabic" w:hint="cs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437BAE">
              <w:rPr>
                <w:rFonts w:ascii="Traditional Arabic" w:eastAsia="AL-Mohanad Bold" w:hAnsi="Traditional Arabic" w:cs="Traditional Arabic" w:hint="cs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437BAE">
              <w:rPr>
                <w:rFonts w:ascii="Traditional Arabic" w:eastAsia="AL-Mohanad Bold" w:hAnsi="Traditional Arabic" w:cs="Traditional Arabic" w:hint="cs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870B51" w:rsidRPr="00E8014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870B51" w:rsidRPr="00E8014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  <w:vAlign w:val="center"/>
          </w:tcPr>
          <w:p w:rsidR="00870B51" w:rsidRPr="003B42CB" w:rsidRDefault="00870B5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870B51" w:rsidRPr="00437BAE" w:rsidRDefault="00870B51" w:rsidP="00870B51">
            <w:pPr>
              <w:bidi/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</w:pP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أن 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يكون الطالب قادرًا على تحمل</w:t>
            </w:r>
            <w:r w:rsidRPr="00437BAE">
              <w:rPr>
                <w:rFonts w:ascii="Traditional Arabic" w:hAnsi="Traditional Arabic" w:cs="Traditional Arabic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Pr="00437BAE">
              <w:rPr>
                <w:rFonts w:ascii="Traditional Arabic" w:eastAsia="AL-Mohanad Bold" w:hAnsi="Traditional Arabic" w:cs="Traditional Arabic" w:hint="cs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437BAE">
              <w:rPr>
                <w:rFonts w:ascii="Traditional Arabic" w:eastAsia="AL-Mohanad Bold" w:hAnsi="Traditional Arabic" w:cs="Traditional Arabic"/>
                <w:color w:val="17365D" w:themeColor="text2" w:themeShade="BF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437BAE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870B51" w:rsidRPr="00E8014E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870B51" w:rsidRPr="00E8014E" w:rsidTr="00870B51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870B51" w:rsidRPr="00134897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870B51" w:rsidRPr="00E8014E" w:rsidRDefault="00870B51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70B51" w:rsidRPr="00E8014E" w:rsidRDefault="00870B51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870B51" w:rsidRPr="00E8014E" w:rsidRDefault="00870B51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70B51" w:rsidRPr="00E8014E" w:rsidRDefault="00870B51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87" w:type="dxa"/>
          </w:tcPr>
          <w:p w:rsidR="00870B51" w:rsidRDefault="00870B51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870B51" w:rsidRPr="00134897" w:rsidRDefault="00870B51" w:rsidP="00870B5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870B51" w:rsidRPr="00E8014E" w:rsidRDefault="00870B5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870B51" w:rsidRDefault="00870B51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E14468">
        <w:tc>
          <w:tcPr>
            <w:tcW w:w="686" w:type="dxa"/>
          </w:tcPr>
          <w:p w:rsidR="00870B51" w:rsidRPr="00857BFF" w:rsidRDefault="00870B5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870B51" w:rsidRPr="00134897" w:rsidRDefault="00870B51" w:rsidP="00870B5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870B51" w:rsidRPr="00E8014E" w:rsidRDefault="00870B5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870B51">
        <w:tc>
          <w:tcPr>
            <w:tcW w:w="686" w:type="dxa"/>
            <w:vAlign w:val="center"/>
          </w:tcPr>
          <w:p w:rsidR="00870B51" w:rsidRPr="003B42CB" w:rsidRDefault="00870B51" w:rsidP="00870B5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870B51" w:rsidRPr="00134897" w:rsidRDefault="00870B51" w:rsidP="00870B5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870B51" w:rsidRPr="00E8014E" w:rsidRDefault="00870B5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870B51">
        <w:tc>
          <w:tcPr>
            <w:tcW w:w="686" w:type="dxa"/>
            <w:vAlign w:val="center"/>
          </w:tcPr>
          <w:p w:rsidR="00870B51" w:rsidRPr="003B42CB" w:rsidRDefault="00870B51" w:rsidP="00870B5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870B51" w:rsidRPr="00134897" w:rsidRDefault="00870B51" w:rsidP="00870B5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في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870B51" w:rsidRPr="00E8014E" w:rsidRDefault="00870B5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0B51" w:rsidRPr="00E8014E" w:rsidTr="00870B51">
        <w:tc>
          <w:tcPr>
            <w:tcW w:w="686" w:type="dxa"/>
            <w:vAlign w:val="center"/>
          </w:tcPr>
          <w:p w:rsidR="00870B51" w:rsidRPr="003B42CB" w:rsidRDefault="00870B51" w:rsidP="00870B5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870B51" w:rsidRPr="00134897" w:rsidRDefault="00870B51" w:rsidP="00870B5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870B51" w:rsidRPr="00E8014E" w:rsidRDefault="00870B5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870B51" w:rsidRDefault="00870B5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A86107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proofErr w:type="gramEnd"/>
      <w:r w:rsidR="00A86107" w:rsidRPr="00A86107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A86107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A86107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A86107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A86107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A86107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A86107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32A5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المناشط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A86107" w:rsidRDefault="00A86107" w:rsidP="0092768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861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مصفوفة الاختبار </w:t>
      </w:r>
    </w:p>
    <w:tbl>
      <w:tblPr>
        <w:tblStyle w:val="ac"/>
        <w:tblW w:w="9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276"/>
        <w:gridCol w:w="1134"/>
        <w:gridCol w:w="1134"/>
        <w:gridCol w:w="993"/>
        <w:gridCol w:w="3403"/>
      </w:tblGrid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الدرجة </w:t>
            </w:r>
            <w:r w:rsidRPr="00330CC7">
              <w:rPr>
                <w:rFonts w:asciiTheme="minorBidi" w:hAnsiTheme="minorBidi" w:cstheme="minorBidi"/>
                <w:sz w:val="28"/>
                <w:szCs w:val="28"/>
                <w:highlight w:val="lightGray"/>
                <w:rtl/>
                <w:lang w:val="en-US"/>
              </w:rPr>
              <w:t>التقريبية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 المستحقة </w:t>
            </w:r>
            <w:proofErr w:type="gramStart"/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lastRenderedPageBreak/>
              <w:t xml:space="preserve">من </w:t>
            </w: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 xml:space="preserve"> 65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lastRenderedPageBreak/>
              <w:t xml:space="preserve">الوزن النسبي للموضوع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 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مقدمة مختصرة عن نشأة علم الفقه وأهميته</w:t>
            </w: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الطهارة: معناها، وأنواعها، وحكمها</w:t>
            </w: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أنواع الآنية، وأحكام </w:t>
            </w:r>
            <w:proofErr w:type="gramStart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استعمالها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proofErr w:type="gramEnd"/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أحكام الاستنجاء والاستجمار، وآدابهما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2,6%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سنن الفطرة، وأحكام السواك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3.3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6.9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/>
              </w:rPr>
              <w:t>10.6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أحكام الوضوء، وفروضه، وشروطه، وسننه، ونواقضه.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4.6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8.6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موجبات </w:t>
            </w:r>
            <w:proofErr w:type="spellStart"/>
            <w:proofErr w:type="gramStart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الغسل،وصفته</w:t>
            </w:r>
            <w:proofErr w:type="gramEnd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،وأحكامه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أحكام المسح على الخفين والحوائل</w:t>
            </w: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معنى </w:t>
            </w:r>
            <w:proofErr w:type="spellStart"/>
            <w:proofErr w:type="gramStart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التيمم،وصفته</w:t>
            </w:r>
            <w:proofErr w:type="gramEnd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،وأحكامه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معنى النجاسة، </w:t>
            </w:r>
            <w:proofErr w:type="spellStart"/>
            <w:proofErr w:type="gramStart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وأقسامها،وأحكامها</w:t>
            </w:r>
            <w:proofErr w:type="spellEnd"/>
            <w:proofErr w:type="gramEnd"/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معنى الحيض والاستحاضة والنفاس، وأحكام كل منها.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حقيقة الصلاة، ومشروعيتها، وأحكام النداء لها. 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شروط الصلاة، وأحكام كل شرط</w:t>
            </w: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6.6%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shd w:val="clear" w:color="auto" w:fill="FFFFFF"/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صفة الصلاة، وأركانها، وواجباتها، وسننها، وأحكامها.</w:t>
            </w:r>
          </w:p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</w:p>
        </w:tc>
      </w:tr>
      <w:tr w:rsidR="00A91982" w:rsidTr="00A919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64.5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99.1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1982" w:rsidRDefault="00A91982" w:rsidP="00870B51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1982" w:rsidRDefault="00A91982" w:rsidP="00870B51">
            <w:pPr>
              <w:shd w:val="clear" w:color="auto" w:fill="FFFFFF"/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المجموع</w:t>
            </w:r>
          </w:p>
        </w:tc>
      </w:tr>
    </w:tbl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proofErr w:type="gramStart"/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proofErr w:type="gramEnd"/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  <w:r w:rsidR="00B82FD8"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هذه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  <w:lang w:val="en-US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0959CB" w:rsidRPr="00B66124" w:rsidRDefault="000959CB" w:rsidP="000959CB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0;margin-top:34.65pt;width:396pt;height:123.75pt;flip:x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0959CB" w:rsidRDefault="000959CB" w:rsidP="000959C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0959CB" w:rsidRPr="001A6CDD" w:rsidRDefault="000959CB" w:rsidP="000959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0959CB" w:rsidRPr="00B66124" w:rsidRDefault="000959CB" w:rsidP="000959CB">
      <w:pPr>
        <w:pStyle w:val="ad"/>
        <w:numPr>
          <w:ilvl w:val="0"/>
          <w:numId w:val="12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0959CB" w:rsidRPr="00B66124" w:rsidRDefault="000959CB" w:rsidP="000959CB">
      <w:pPr>
        <w:pStyle w:val="ad"/>
        <w:numPr>
          <w:ilvl w:val="0"/>
          <w:numId w:val="12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0959CB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0959CB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9CB" w:rsidRPr="00B66124" w:rsidRDefault="000959CB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CB" w:rsidRPr="00B66124" w:rsidRDefault="000959CB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0959CB" w:rsidRPr="00B66124" w:rsidRDefault="000959CB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0959CB" w:rsidRPr="00B66124" w:rsidRDefault="000959CB" w:rsidP="000959CB">
      <w:pPr>
        <w:rPr>
          <w:sz w:val="28"/>
          <w:szCs w:val="28"/>
          <w:rtl/>
        </w:rPr>
      </w:pPr>
    </w:p>
    <w:p w:rsidR="000959CB" w:rsidRPr="00B66124" w:rsidRDefault="000959CB" w:rsidP="000959CB">
      <w:pPr>
        <w:pStyle w:val="ad"/>
        <w:numPr>
          <w:ilvl w:val="0"/>
          <w:numId w:val="13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0959CB" w:rsidRPr="00B66124" w:rsidRDefault="000959CB" w:rsidP="000959CB">
      <w:pPr>
        <w:pStyle w:val="ad"/>
        <w:numPr>
          <w:ilvl w:val="0"/>
          <w:numId w:val="13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0959CB" w:rsidRPr="00B66124" w:rsidRDefault="000959CB" w:rsidP="000959CB">
      <w:pPr>
        <w:pStyle w:val="ad"/>
        <w:numPr>
          <w:ilvl w:val="0"/>
          <w:numId w:val="14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0959CB" w:rsidRPr="00B66124" w:rsidRDefault="000959CB" w:rsidP="000959CB">
      <w:pPr>
        <w:rPr>
          <w:sz w:val="32"/>
          <w:szCs w:val="32"/>
        </w:rPr>
      </w:pPr>
    </w:p>
    <w:p w:rsidR="00B82FD8" w:rsidRPr="000959CB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0" w:name="_GoBack"/>
      <w:bookmarkEnd w:id="0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30458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84" w:rsidRDefault="00F13A84">
      <w:r>
        <w:separator/>
      </w:r>
    </w:p>
  </w:endnote>
  <w:endnote w:type="continuationSeparator" w:id="0">
    <w:p w:rsidR="00F13A84" w:rsidRDefault="00F1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51" w:rsidRPr="00E85FEB" w:rsidRDefault="00870B51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70B51" w:rsidRDefault="00870B51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BAE" w:rsidRPr="00437BAE">
      <w:rPr>
        <w:noProof/>
        <w:rtl/>
        <w:lang w:val="ar-SA"/>
      </w:rPr>
      <w:t>8</w:t>
    </w:r>
    <w:r>
      <w:rPr>
        <w:noProof/>
        <w:lang w:val="ar-SA"/>
      </w:rPr>
      <w:fldChar w:fldCharType="end"/>
    </w:r>
  </w:p>
  <w:p w:rsidR="00870B51" w:rsidRPr="0094487B" w:rsidRDefault="00870B51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51" w:rsidRPr="00BD314D" w:rsidRDefault="00870B51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70B51" w:rsidRDefault="00870B51" w:rsidP="003A369E">
    <w:pPr>
      <w:pStyle w:val="a3"/>
      <w:bidi/>
    </w:pPr>
  </w:p>
  <w:p w:rsidR="00870B51" w:rsidRDefault="00870B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84" w:rsidRDefault="00F13A84">
      <w:r>
        <w:separator/>
      </w:r>
    </w:p>
  </w:footnote>
  <w:footnote w:type="continuationSeparator" w:id="0">
    <w:p w:rsidR="00F13A84" w:rsidRDefault="00F1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51" w:rsidRDefault="00870B51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0B51" w:rsidRPr="00E9121F" w:rsidRDefault="00870B51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59CB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AE9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36B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5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BAE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6C3F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0B51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2AA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377"/>
    <w:rsid w:val="00A36BBD"/>
    <w:rsid w:val="00A372B4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107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82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4A2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3A84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customStyle="1" w:styleId="TableGrid">
    <w:name w:val="TableGrid"/>
    <w:rsid w:val="000959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2114A-1584-4783-8611-3632E7D2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1965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6</cp:revision>
  <cp:lastPrinted>2016-01-19T12:24:00Z</cp:lastPrinted>
  <dcterms:created xsi:type="dcterms:W3CDTF">2018-04-08T15:39:00Z</dcterms:created>
  <dcterms:modified xsi:type="dcterms:W3CDTF">2019-03-06T17:40:00Z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