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F20AA" w:rsidRPr="004F20AA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فرائض</w:t>
      </w:r>
      <w:proofErr w:type="gramEnd"/>
      <w:r w:rsidR="004F20AA" w:rsidRPr="004F20AA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1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F20AA" w:rsidRPr="004F20AA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4F20AA" w:rsidRPr="004F20AA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332</w:t>
      </w:r>
    </w:p>
    <w:p w:rsidR="00F4318C" w:rsidRPr="00F4318C" w:rsidRDefault="00F4318C" w:rsidP="00F4318C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318C"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 w:rsidRPr="00F4318C"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F4318C" w:rsidRPr="00F4318C" w:rsidRDefault="00F4318C" w:rsidP="00F4318C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F4318C"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6125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612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الفرائض</w:t>
            </w:r>
            <w:proofErr w:type="spellEnd"/>
            <w:proofErr w:type="gramEnd"/>
            <w:r w:rsidR="00612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 (1)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612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332</w:t>
            </w:r>
            <w:bookmarkStart w:id="0" w:name="LastPosition"/>
            <w:bookmarkEnd w:id="0"/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8E0E70" w:rsidRDefault="00B82FD8" w:rsidP="008E0E7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8E0E70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8E0E70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proofErr w:type="spellStart"/>
            <w:r w:rsidR="008E0E70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4F20A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4F20A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4F20A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4F20A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1064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410"/>
        <w:gridCol w:w="1417"/>
        <w:gridCol w:w="3255"/>
      </w:tblGrid>
      <w:tr w:rsidR="00355FAC" w:rsidRPr="00857A54" w:rsidTr="00CA67E4">
        <w:tc>
          <w:tcPr>
            <w:tcW w:w="7809" w:type="dxa"/>
            <w:gridSpan w:val="3"/>
            <w:vAlign w:val="center"/>
          </w:tcPr>
          <w:p w:rsidR="00355FAC" w:rsidRPr="00857A54" w:rsidRDefault="00355FAC" w:rsidP="00857A54">
            <w:pPr>
              <w:numPr>
                <w:ilvl w:val="0"/>
                <w:numId w:val="2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التغطية للموضوعات المخطط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لها :</w:t>
            </w:r>
            <w:proofErr w:type="gramEnd"/>
          </w:p>
        </w:tc>
        <w:tc>
          <w:tcPr>
            <w:tcW w:w="3255" w:type="dxa"/>
          </w:tcPr>
          <w:p w:rsidR="00355FAC" w:rsidRPr="00857A54" w:rsidRDefault="00355FAC" w:rsidP="00355FAC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355FAC" w:rsidRPr="00857A54" w:rsidTr="00CA67E4">
        <w:trPr>
          <w:trHeight w:val="668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الموضوعات التي تمت تغطيتها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التدريس المخطط لها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CA67E4" w:rsidRDefault="00355FAC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A67E4"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  <w:t>ساعات التدريس</w:t>
            </w: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الفعلية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D9D9"/>
          </w:tcPr>
          <w:p w:rsidR="00355FAC" w:rsidRPr="00CA67E4" w:rsidRDefault="007B6196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</w:pP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أسباب </w:t>
            </w:r>
            <w:proofErr w:type="gramStart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الاختلاف ،</w:t>
            </w:r>
            <w:proofErr w:type="gramEnd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 إذا زادت نسبة الاختلاف عن عدد الساعات المخطط لها مسبقا 25</w:t>
            </w:r>
            <w:r w:rsidR="00CB2E60"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%</w:t>
            </w:r>
          </w:p>
        </w:tc>
      </w:tr>
      <w:tr w:rsidR="00253763" w:rsidRPr="00857A54" w:rsidTr="00CA67E4">
        <w:trPr>
          <w:trHeight w:val="1031"/>
        </w:trPr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مبادئ علم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الفرائض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تعريف علم الفرائض، موضوعه، ثمرته، نسبته، فضله وأهميته، والأدلة على ذلك من الكتاب والسنة، اهتمام علماء المسلمين به، التعريف ببعض كتب المواريث نظما ونثرا، استمداده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ومصادره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حكم تعلمه.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253763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B959A3" w:rsidRPr="00B959A3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EG"/>
              </w:rPr>
            </w:pPr>
            <w:r w:rsidRPr="00B95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- يكتب لا يوجد</w:t>
            </w:r>
          </w:p>
          <w:p w:rsidR="00253763" w:rsidRPr="00857A54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ب- يبين سبب اختلاف ساعات </w:t>
            </w:r>
            <w:proofErr w:type="spell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التتدريس</w:t>
            </w:r>
            <w:proofErr w:type="spell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الخاصة بالعضوة عن المخطط </w:t>
            </w:r>
            <w:proofErr w:type="gram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لها  (</w:t>
            </w:r>
            <w:proofErr w:type="gram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كوجود مؤتمر</w:t>
            </w:r>
            <w:r w:rsidRPr="00B959A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للقسم)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الميراث قبل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الإسلام .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(أنظمة التوارث عند غير المسلمين وبيان فسادها).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التوريث في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الإسلام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أسس التوريث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الإسلامي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ومزاياه ، وخصائصه ، حكمة التشريع الإسلامي في نظام التوريث وأثره الاجتماعي ،الرد على الشبهات المثارة حول نظام التوريث في الإسلام.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المراد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بالتركة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والحقوق المتعلقة بها :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-المراد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بالتركة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-الحقوق المعنوية وإرثها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( الحقوق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الفكرية ، براءة الاختراع ، الاسم التجاري)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-الراتب التقاعدي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للمتوفى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الحقوق المتعلقة بالتركة: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-مؤن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التجهيز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المراد بها ، تقديمها على غيرها من الحقوق ، مؤنة تجهيز الزوجة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-الحقوق المتعلقة بعين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التركة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-الديون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المرسلة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المراد بها ، عجز </w:t>
            </w:r>
            <w:proofErr w:type="spell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التركه</w:t>
            </w:r>
            <w:proofErr w:type="spell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عن الوفاء بديون الله وديون الآدميين ، الديون المؤجلة وحلولها بالموت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الوصية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تعريفها ، حكمها، شروط صحتها .ترتيبها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المراد به ، المبادرة بقسمته .</w:t>
            </w:r>
          </w:p>
        </w:tc>
        <w:tc>
          <w:tcPr>
            <w:tcW w:w="2410" w:type="dxa"/>
          </w:tcPr>
          <w:p w:rsidR="00253763" w:rsidRPr="00857A54" w:rsidRDefault="002A0B2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أركان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شروط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أسباب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-تعريف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السبب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-الأسباب المجمع عليها: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النكاح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تعريفه ، دليله ، اعتباره سببا ،  أثر حَل ِّ </w:t>
            </w: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النكاح بالطلاق على التوارث ( الطلاق الرجعي والطلاق البائن في حال الصحة وفي حال المرض المخوف)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الولاء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تعريفه ، دليل اعتباره سببا ، من يرث به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النسب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المراد به ، دليل اعتباره سببا ، جهات النسب ، قوته، من يرث به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-الأسباب المختلف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فيها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جهة الإسلام ، الموالاة والمعاقدة ، التسبب في إسلام الشخص  المتوفى ، الالتقاط .</w:t>
            </w:r>
          </w:p>
        </w:tc>
        <w:tc>
          <w:tcPr>
            <w:tcW w:w="2410" w:type="dxa"/>
          </w:tcPr>
          <w:p w:rsidR="00253763" w:rsidRPr="00857A54" w:rsidRDefault="00A2289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موانع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-تعريف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المانع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وأقسام الموانع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الموانع المتفق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عليها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الرق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القتل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مذاهب العلماء في حقيقة القتل المانع من الإرث ، مدى اعتبار القتل بحوادث السيارات مانعا من الإرث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اختلاف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الدين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التوارث بين المسلم والكافر، التوارث بين الكفار.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-الموانع المختلف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فيها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(الردة ، اختلاف الدار ، الدور الحكمي ، الزنا ، اللعان ).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بيان الورثة وأنواع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الوارثون من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الرجال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الوارثات من النساء ، من يرث عند اجتماعهم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أنواع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الإرث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أقسام الورثة باعتبارها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الفروض المقدرة في كتاب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الله :</w:t>
            </w:r>
            <w:proofErr w:type="gramEnd"/>
          </w:p>
          <w:p w:rsidR="00253763" w:rsidRPr="00857A54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معنى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الفرض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 الفروض المقدرة إجمالا وطريقة عدها ، عدد أصحاب الفروض إجمالا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النصف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 شرط ميراثه النصف , ودليله.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البنت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النصف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-بنت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الابن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النصف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-الأخت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الشقيقة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النصف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-الأخت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لأب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النصف ، ودليله .</w:t>
            </w:r>
          </w:p>
          <w:p w:rsidR="00253763" w:rsidRPr="00857A54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توفر الشروط لأصحاب النصف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</w:t>
            </w:r>
            <w:r w:rsidRPr="00857A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الربع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 الربع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الزوجة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الربع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توفر الشرط لأصحاب الربع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الثمن :</w:t>
            </w:r>
            <w:proofErr w:type="gramEnd"/>
          </w:p>
          <w:p w:rsidR="00253763" w:rsidRPr="00857A54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الزوجة أو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الزوجات ،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ميراثها أو ميراثهن الثمن ودليله ، تطبيقات على توفر الشرط وانتفائه</w:t>
            </w:r>
            <w:r w:rsidRPr="00857A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الثلثين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البنات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ميراثهن الثلثين ودليله ، خلاف ابن عباس في شرط ميراث البنات الثلثين  ، مع الأدلة والترجيح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-بنات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الابن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ميراثهن الثلثين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-الأخوات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الشقائق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ميراثهن الثلثين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-الأخوات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لأب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ميراثهن الثلثين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توفر الشروط لأصحاب الثلثين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 .</w:t>
            </w:r>
            <w:proofErr w:type="gramEnd"/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الثلث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ميراثها الثلث ، وأدلتها ، خلاف ابن </w:t>
            </w: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عباس ومعاذ للجمهور في العدد والوصف المعتبرين  لمنع الأم من ميراث الثلث ، أثر الأخوة المحجوبين على إرث الأم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المسألتان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العمريتان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بيانهما ، أسماؤهما ، مذاهب العلماء  فيهما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-الإخوة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لأم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ميراثهم الثلث ، وأدلتها ، الأحكام التي يختص بها أولاد الأم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توافر الشروط لأصحاب الثلث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 .</w:t>
            </w:r>
            <w:proofErr w:type="gramEnd"/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السدس :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الأب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 السدس ودليله ، أحوال الأب مع الفرع الوارث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ميراثها السدس ،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الجد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شرط ميراثه السدس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-بنت الابن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فأكثر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ميراثها السدس ودليله 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-الأخت لأب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فأكثر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ميراثها السدس ودليله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الجدة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ضابط الجدة الوارثة والجدة غير الوارثة ، خلاف ابن عباس للجمهور في ميراث الجدة ، شروط ميراث الجدة للسدس ودليله ، أقوال أهل العلم في اشتراط عدم ابنها الوارث إن كانت مدلية به ، ميراث الجدات عند اجتماعهن  وحالاته،  ميراث الجدة ذات القرابتين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-ولد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 :</w:t>
            </w:r>
            <w:proofErr w:type="gramEnd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ميراثه السدس ودليله .</w:t>
            </w:r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توفر الشروط لأصحاب السدس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 .</w:t>
            </w:r>
            <w:proofErr w:type="gramEnd"/>
          </w:p>
          <w:p w:rsidR="00253763" w:rsidRPr="007038BE" w:rsidRDefault="0025376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عامة على توفر الشروط لأصحاب الفروض مجتمعين </w:t>
            </w:r>
            <w:proofErr w:type="gramStart"/>
            <w:r w:rsidRPr="007038B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وانتفائها .</w:t>
            </w:r>
            <w:proofErr w:type="gramEnd"/>
          </w:p>
        </w:tc>
        <w:tc>
          <w:tcPr>
            <w:tcW w:w="2410" w:type="dxa"/>
          </w:tcPr>
          <w:p w:rsidR="00253763" w:rsidRPr="00857A54" w:rsidRDefault="00A2289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</w:tbl>
    <w:p w:rsidR="00857A54" w:rsidRPr="00E8014E" w:rsidRDefault="00857A54" w:rsidP="00857A54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C702B2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62"/>
        <w:gridCol w:w="2876"/>
        <w:gridCol w:w="2848"/>
      </w:tblGrid>
      <w:tr w:rsidR="00B82FD8" w:rsidRPr="00E8014E" w:rsidTr="009C6A9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المبادئ في علم الفرائض </w:t>
            </w:r>
          </w:p>
        </w:tc>
        <w:tc>
          <w:tcPr>
            <w:tcW w:w="2876" w:type="dxa"/>
            <w:vMerge w:val="restart"/>
            <w:vAlign w:val="center"/>
          </w:tcPr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الشفوي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لاختبار التحريري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التمارين المنزلية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والبحوث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 الأقران.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تلخيص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المعلومات وعرضها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الصفية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7F5A45" w:rsidP="007F5A45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إعادة إلقاء المادة العلمية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مكانة علم الفرائض وأهميته </w:t>
            </w:r>
            <w:proofErr w:type="gramStart"/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دراسته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وصف ما كان عليه أهل الجاهلية في </w:t>
            </w:r>
            <w:proofErr w:type="gramStart"/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التوريث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236B9B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E041D1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توضيح حكمة التشريع الإسلامي في مشروعية الإرث وأثره </w:t>
            </w:r>
            <w:proofErr w:type="gramStart"/>
            <w:r w:rsidR="00E041D1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الاجتماعي 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14468" w:rsidRPr="009334CD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327778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تحديد أسس التوريث الإسلامي </w:t>
            </w:r>
            <w:proofErr w:type="gramStart"/>
            <w:r w:rsidR="00327778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واتجاهاته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327778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ترتيب الحقوق المتعلقة </w:t>
            </w:r>
            <w:proofErr w:type="gramStart"/>
            <w:r w:rsidR="00327778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بالتركة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تحديد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أركان الإرث وشروطه وأسبابه وموانعه.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1,8</w:t>
            </w:r>
          </w:p>
        </w:tc>
        <w:tc>
          <w:tcPr>
            <w:tcW w:w="2862" w:type="dxa"/>
            <w:vAlign w:val="center"/>
          </w:tcPr>
          <w:p w:rsidR="00327778" w:rsidRPr="00327778" w:rsidRDefault="00327778" w:rsidP="00327778">
            <w:pPr>
              <w:bidi/>
              <w:contextualSpacing/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أن يكون الطالب قادرًا على تصنيف الوارثين من الرجال والوارثات من النساء.</w:t>
            </w:r>
          </w:p>
          <w:p w:rsidR="00327778" w:rsidRPr="009334CD" w:rsidRDefault="00327778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327778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تسمية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أصحاب الفروض المقدرة في كتاب الله </w:t>
            </w:r>
            <w:proofErr w:type="gramStart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تعالى  وشروط</w:t>
            </w:r>
            <w:proofErr w:type="gramEnd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 استحقاق كل صاحب فرض لفرضه.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مواضع الخلاف بين الصحابة فيما يمر به من المسائل ومرجع اجتهاد كل </w:t>
            </w:r>
            <w:proofErr w:type="gramStart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منهم ،</w:t>
            </w:r>
            <w:proofErr w:type="gramEnd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 ويرجح ما يراه صواباً.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697331" w:rsidRDefault="00285238" w:rsidP="0069733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  <w:lang w:val="en-US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69733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  <w:lang w:val="en-US"/>
              </w:rPr>
              <w:t xml:space="preserve">استخدام القواعد والأصول لحل مسائل المواريث بطريقة صحيحة </w:t>
            </w:r>
          </w:p>
        </w:tc>
        <w:tc>
          <w:tcPr>
            <w:tcW w:w="2876" w:type="dxa"/>
            <w:vMerge w:val="restart"/>
            <w:vAlign w:val="center"/>
          </w:tcPr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الشفوي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التحريري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الفقهية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المنزلية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الصفية .</w:t>
            </w:r>
            <w:proofErr w:type="gramEnd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التطبيقي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ات الصفية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E14468" w:rsidRPr="00E8014E" w:rsidRDefault="00E14468" w:rsidP="007F5A45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rPr>
          <w:trHeight w:val="1028"/>
        </w:trPr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ى تحليل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النصوص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الموازنة بين الأقوال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والأدلة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البحث العلمي وترتيب المعلومات من المصادر المختلفة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يبرهن على تميز النظام الإسلامي في التوريث.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استنباط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 xml:space="preserve">الأحكام الشرعية من نصوص الكتاب والسنة وفق المنهجية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العلمية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القواعد والأصول على فروع المسائل القديمة والنوازل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المستجدة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منهجية البحث العلمي عمليا 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7F5A45" w:rsidRPr="007F5A45" w:rsidRDefault="007F5A45" w:rsidP="007F5A45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المجموعة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ملاحظة  أداء</w:t>
            </w:r>
            <w:proofErr w:type="gramEnd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المحدد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منه وتسليمه في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الموعد .</w:t>
            </w:r>
            <w:proofErr w:type="gramEnd"/>
          </w:p>
          <w:p w:rsidR="00E14468" w:rsidRPr="00E8014E" w:rsidRDefault="00E14468" w:rsidP="007F5A45">
            <w:pPr>
              <w:pStyle w:val="ad"/>
              <w:pBdr>
                <w:bar w:val="nil"/>
              </w:pBdr>
              <w:tabs>
                <w:tab w:val="left" w:pos="192"/>
              </w:tabs>
              <w:bidi/>
              <w:ind w:left="502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</w:t>
            </w:r>
            <w:proofErr w:type="gramStart"/>
            <w:r w:rsidR="009C6A9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العلمي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ممارسة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مهارات التواصل الفعال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قادرًا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العمل ضمن مجموعة عمل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إدارة 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الوقت وحسن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استثماره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طالب قادرًا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</w:t>
            </w:r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التحلي</w:t>
            </w:r>
            <w:proofErr w:type="spellEnd"/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بالأخلاق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لإسلامية في تعامله مع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>أساتذته ،</w:t>
            </w:r>
            <w:proofErr w:type="gramEnd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 وزملائه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7F5A45" w:rsidRPr="007F5A45" w:rsidRDefault="007F5A45" w:rsidP="007F5A45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( تقييم</w:t>
            </w:r>
            <w:proofErr w:type="gram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 الجوانب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lastRenderedPageBreak/>
              <w:t>الشفوية والكتابية )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7F5A45" w:rsidRPr="007F5A45" w:rsidRDefault="007F5A45" w:rsidP="007F5A45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الكتابية .</w:t>
            </w:r>
            <w:proofErr w:type="gramEnd"/>
          </w:p>
          <w:p w:rsidR="007F5A45" w:rsidRPr="007F5A45" w:rsidRDefault="007F5A45" w:rsidP="007F5A45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7F5A45" w:rsidP="007F5A45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 الجوانب الالكترونية في البحوث العلمية والواجبات المنزلية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مسائل المواريث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تقديم</w:t>
            </w:r>
            <w:proofErr w:type="gram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التقارير والواجبات باستخدام الحاسب الآلي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التواصل مع </w:t>
            </w:r>
            <w:proofErr w:type="gramStart"/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المدرس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التقنية</w:t>
            </w:r>
            <w:proofErr w:type="spell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التواصل مع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الزملاء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استخدام التقنية في متطلبات المقرر والحصول على المعلومات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4،7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التواصل كتابيا من خلال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التقارير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3C422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4,8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استخدام المهارات الحسابية في </w:t>
            </w:r>
            <w:proofErr w:type="spell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تفسيم</w:t>
            </w:r>
            <w:proofErr w:type="spellEnd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المواريث وحساب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التركات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D1070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4F20AA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4F20AA" w:rsidRPr="004F20AA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4F20AA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4F20AA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4F20AA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4F20AA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4F20AA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4F20AA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الصعوبات التي أعاقت استخدام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F20AA" w:rsidP="004A5476">
      <w:pPr>
        <w:bidi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مصفوفة الاختبار</w:t>
      </w: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center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 xml:space="preserve">الدرجة التقريبية المستحقة من </w:t>
            </w:r>
            <w:r w:rsidRPr="009926D4">
              <w:rPr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الموضوع</w:t>
            </w: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bidi/>
              <w:spacing w:line="400" w:lineRule="exact"/>
              <w:rPr>
                <w:rFonts w:asciiTheme="minorBidi" w:hAnsiTheme="minorBidi" w:cstheme="minorBidi"/>
                <w:rtl/>
              </w:rPr>
            </w:pPr>
            <w:r w:rsidRPr="009926D4">
              <w:rPr>
                <w:rFonts w:asciiTheme="minorBidi" w:hAnsiTheme="minorBidi" w:cstheme="minorBidi"/>
                <w:rtl/>
              </w:rPr>
              <w:t xml:space="preserve">مبادئ علم الفرائض 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9926D4">
              <w:rPr>
                <w:rFonts w:asciiTheme="minorBidi" w:hAnsiTheme="minorBidi" w:cstheme="minorBidi"/>
                <w:rtl/>
              </w:rPr>
              <w:t>الميراث في الإسلام وقبله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bidi/>
              <w:spacing w:line="400" w:lineRule="exact"/>
              <w:rPr>
                <w:rFonts w:asciiTheme="minorBidi" w:hAnsiTheme="minorBidi" w:cstheme="minorBidi"/>
                <w:rtl/>
              </w:rPr>
            </w:pPr>
            <w:r w:rsidRPr="009926D4">
              <w:rPr>
                <w:rFonts w:asciiTheme="minorBidi" w:hAnsiTheme="minorBidi" w:cstheme="minorBidi"/>
                <w:rtl/>
              </w:rPr>
              <w:t xml:space="preserve">المراد </w:t>
            </w:r>
            <w:proofErr w:type="gramStart"/>
            <w:r w:rsidRPr="009926D4">
              <w:rPr>
                <w:rFonts w:asciiTheme="minorBidi" w:hAnsiTheme="minorBidi" w:cstheme="minorBidi"/>
                <w:rtl/>
              </w:rPr>
              <w:t>بالتركة ،</w:t>
            </w:r>
            <w:proofErr w:type="gramEnd"/>
            <w:r w:rsidRPr="009926D4">
              <w:rPr>
                <w:rFonts w:asciiTheme="minorBidi" w:hAnsiTheme="minorBidi" w:cstheme="minorBidi"/>
                <w:rtl/>
              </w:rPr>
              <w:t xml:space="preserve"> والحقوق المتعلقة بها 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أركان الإرث وشروطه وأسبابه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موانع الإرث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bidi/>
              <w:spacing w:line="400" w:lineRule="exact"/>
              <w:rPr>
                <w:rFonts w:asciiTheme="minorBidi" w:hAnsiTheme="minorBidi" w:cstheme="minorBidi"/>
                <w:rtl/>
              </w:rPr>
            </w:pPr>
            <w:r w:rsidRPr="009926D4">
              <w:rPr>
                <w:rFonts w:asciiTheme="minorBidi" w:hAnsiTheme="minorBidi" w:cstheme="minorBidi"/>
                <w:rtl/>
              </w:rPr>
              <w:t xml:space="preserve">بيان الورثة وأنواع الإرث 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أصحاب النصف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أصحاب الربع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أصحاب الثلثين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أصحاب الثلث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أصحاب السدس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926D4" w:rsidRPr="009926D4" w:rsidTr="009926D4"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tl/>
                <w:lang w:val="en-US"/>
              </w:rPr>
            </w:pPr>
            <w:r w:rsidRPr="009926D4">
              <w:rPr>
                <w:rFonts w:hint="cs"/>
                <w:rtl/>
                <w:lang w:val="en-US"/>
              </w:rPr>
              <w:t>30</w:t>
            </w:r>
          </w:p>
        </w:tc>
        <w:tc>
          <w:tcPr>
            <w:tcW w:w="4779" w:type="dxa"/>
            <w:shd w:val="clear" w:color="auto" w:fill="auto"/>
          </w:tcPr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926D4">
              <w:rPr>
                <w:rFonts w:asciiTheme="minorBidi" w:hAnsiTheme="minorBidi" w:cstheme="minorBidi"/>
                <w:rtl/>
                <w:lang w:val="en-US"/>
              </w:rPr>
              <w:t>المجموع</w:t>
            </w:r>
          </w:p>
          <w:p w:rsidR="009926D4" w:rsidRPr="009926D4" w:rsidRDefault="009926D4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6808B2" w:rsidRPr="00B66124" w:rsidRDefault="006808B2" w:rsidP="006808B2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6808B2" w:rsidRDefault="006808B2" w:rsidP="006808B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6808B2" w:rsidRPr="001A6CDD" w:rsidRDefault="006808B2" w:rsidP="006808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6808B2" w:rsidRPr="00B66124" w:rsidRDefault="006808B2" w:rsidP="006808B2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6808B2" w:rsidRPr="00B66124" w:rsidRDefault="006808B2" w:rsidP="006808B2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6808B2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808B2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8B2" w:rsidRPr="00B66124" w:rsidRDefault="006808B2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2" w:rsidRPr="00B66124" w:rsidRDefault="006808B2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6808B2" w:rsidRPr="00B66124" w:rsidRDefault="006808B2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6808B2" w:rsidRPr="00B66124" w:rsidRDefault="006808B2" w:rsidP="006808B2">
      <w:pPr>
        <w:rPr>
          <w:sz w:val="28"/>
          <w:szCs w:val="28"/>
          <w:rtl/>
        </w:rPr>
      </w:pPr>
    </w:p>
    <w:p w:rsidR="006808B2" w:rsidRPr="00B66124" w:rsidRDefault="006808B2" w:rsidP="006808B2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6808B2" w:rsidRPr="00B66124" w:rsidRDefault="006808B2" w:rsidP="006808B2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6808B2" w:rsidRPr="00B66124" w:rsidRDefault="006808B2" w:rsidP="006808B2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6808B2" w:rsidRPr="00B66124" w:rsidRDefault="006808B2" w:rsidP="006808B2">
      <w:pPr>
        <w:rPr>
          <w:sz w:val="32"/>
          <w:szCs w:val="32"/>
        </w:rPr>
      </w:pPr>
    </w:p>
    <w:p w:rsidR="00B82FD8" w:rsidRPr="006808B2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B2" w:rsidRDefault="00C702B2">
      <w:r>
        <w:separator/>
      </w:r>
    </w:p>
  </w:endnote>
  <w:endnote w:type="continuationSeparator" w:id="0">
    <w:p w:rsidR="00C702B2" w:rsidRDefault="00C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96" w:rsidRPr="00E85FEB" w:rsidRDefault="007B6196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B6196" w:rsidRDefault="002E740B" w:rsidP="00A97885">
    <w:pPr>
      <w:pStyle w:val="a3"/>
      <w:bidi/>
      <w:jc w:val="right"/>
    </w:pPr>
    <w:r>
      <w:fldChar w:fldCharType="begin"/>
    </w:r>
    <w:r w:rsidR="007B6196">
      <w:instrText xml:space="preserve"> PAGE   \* MERGEFORMAT </w:instrText>
    </w:r>
    <w:r>
      <w:fldChar w:fldCharType="separate"/>
    </w:r>
    <w:r w:rsidR="009926D4" w:rsidRPr="009926D4">
      <w:rPr>
        <w:noProof/>
        <w:rtl/>
        <w:lang w:val="ar-SA"/>
      </w:rPr>
      <w:t>12</w:t>
    </w:r>
    <w:r>
      <w:rPr>
        <w:noProof/>
        <w:lang w:val="ar-SA"/>
      </w:rPr>
      <w:fldChar w:fldCharType="end"/>
    </w:r>
  </w:p>
  <w:p w:rsidR="007B6196" w:rsidRPr="0094487B" w:rsidRDefault="007B6196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96" w:rsidRPr="00BD314D" w:rsidRDefault="007B6196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B6196" w:rsidRDefault="007B6196" w:rsidP="003A369E">
    <w:pPr>
      <w:pStyle w:val="a3"/>
      <w:bidi/>
    </w:pPr>
  </w:p>
  <w:p w:rsidR="007B6196" w:rsidRDefault="007B61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B2" w:rsidRDefault="00C702B2">
      <w:r>
        <w:separator/>
      </w:r>
    </w:p>
  </w:footnote>
  <w:footnote w:type="continuationSeparator" w:id="0">
    <w:p w:rsidR="00C702B2" w:rsidRDefault="00C7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96" w:rsidRDefault="007B6196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196" w:rsidRPr="00E9121F" w:rsidRDefault="007B6196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36B"/>
    <w:multiLevelType w:val="hybridMultilevel"/>
    <w:tmpl w:val="4296F398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9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24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5"/>
  </w:num>
  <w:num w:numId="25">
    <w:abstractNumId w:val="18"/>
  </w:num>
  <w:num w:numId="26">
    <w:abstractNumId w:val="7"/>
  </w:num>
  <w:num w:numId="27">
    <w:abstractNumId w:val="27"/>
  </w:num>
  <w:num w:numId="28">
    <w:abstractNumId w:val="6"/>
  </w:num>
  <w:num w:numId="29">
    <w:abstractNumId w:val="2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105C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7E6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3763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2E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4DF4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40B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205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778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8CB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FAC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22A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16F3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36C0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0AA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2D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5D2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8B2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31"/>
    <w:rsid w:val="006973EF"/>
    <w:rsid w:val="006976E9"/>
    <w:rsid w:val="006A0874"/>
    <w:rsid w:val="006A0D0F"/>
    <w:rsid w:val="006A3234"/>
    <w:rsid w:val="006A3D53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1FE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8BE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19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5A45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57A5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AC4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5CF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0E70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26D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A94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1FCB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897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9A3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2B2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A5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67E4"/>
    <w:rsid w:val="00CA77B3"/>
    <w:rsid w:val="00CB04CC"/>
    <w:rsid w:val="00CB0772"/>
    <w:rsid w:val="00CB1F1F"/>
    <w:rsid w:val="00CB27D0"/>
    <w:rsid w:val="00CB2D26"/>
    <w:rsid w:val="00CB2E60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534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1D1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E7F25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688D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1F58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37ACB"/>
    <w:rsid w:val="00F400BD"/>
    <w:rsid w:val="00F41394"/>
    <w:rsid w:val="00F4162E"/>
    <w:rsid w:val="00F41D8C"/>
    <w:rsid w:val="00F41D8F"/>
    <w:rsid w:val="00F431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6808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8D9B-E846-4DD3-9AF9-EEB6174B6D6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1826B1-2501-4971-BCC4-CF7684B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2459</Words>
  <Characters>14021</Characters>
  <Application>Microsoft Office Word</Application>
  <DocSecurity>0</DocSecurity>
  <Lines>116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7</cp:revision>
  <cp:lastPrinted>2016-01-19T12:24:00Z</cp:lastPrinted>
  <dcterms:created xsi:type="dcterms:W3CDTF">2018-03-25T11:10:00Z</dcterms:created>
  <dcterms:modified xsi:type="dcterms:W3CDTF">2019-03-06T17:45:00Z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