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70448F" w:rsidRPr="0070448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فرائض</w:t>
      </w:r>
      <w:proofErr w:type="gramEnd"/>
      <w:r w:rsidR="0070448F" w:rsidRPr="0070448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3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70448F" w:rsidRPr="0070448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spellEnd"/>
      <w:proofErr w:type="gramEnd"/>
      <w:r w:rsidR="0070448F" w:rsidRPr="0070448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 413</w:t>
      </w:r>
    </w:p>
    <w:p w:rsidR="00384159" w:rsidRDefault="00384159" w:rsidP="00384159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384159" w:rsidRPr="00E8014E" w:rsidRDefault="00384159" w:rsidP="00384159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A217AA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فرائض</w:t>
            </w:r>
            <w:proofErr w:type="spellEnd"/>
            <w:proofErr w:type="gramEnd"/>
            <w:r w:rsidR="00A217AA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(</w:t>
            </w:r>
            <w:r w:rsidR="001A6EC4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</w:t>
            </w:r>
            <w:r w:rsidR="00A217AA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4377C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413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933C87" w:rsidRDefault="00B82FD8" w:rsidP="00933C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933C87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933C87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proofErr w:type="spellStart"/>
            <w:r w:rsidR="00933C87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0448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0448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0448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0448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0448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70448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11064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410"/>
        <w:gridCol w:w="1417"/>
        <w:gridCol w:w="3255"/>
      </w:tblGrid>
      <w:tr w:rsidR="00355FAC" w:rsidRPr="00857A54" w:rsidTr="00CA67E4">
        <w:tc>
          <w:tcPr>
            <w:tcW w:w="7809" w:type="dxa"/>
            <w:gridSpan w:val="3"/>
            <w:vAlign w:val="center"/>
          </w:tcPr>
          <w:p w:rsidR="00355FAC" w:rsidRPr="00857A54" w:rsidRDefault="00355FAC" w:rsidP="00857A54">
            <w:pPr>
              <w:numPr>
                <w:ilvl w:val="0"/>
                <w:numId w:val="2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التغطية للموضوعات المخطط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لها :</w:t>
            </w:r>
            <w:proofErr w:type="gramEnd"/>
          </w:p>
        </w:tc>
        <w:tc>
          <w:tcPr>
            <w:tcW w:w="3255" w:type="dxa"/>
          </w:tcPr>
          <w:p w:rsidR="00355FAC" w:rsidRPr="00857A54" w:rsidRDefault="00355FAC" w:rsidP="00355FAC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355FAC" w:rsidRPr="00857A54" w:rsidTr="00CA67E4">
        <w:trPr>
          <w:trHeight w:val="668"/>
        </w:trPr>
        <w:tc>
          <w:tcPr>
            <w:tcW w:w="39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الموضوعات التي تمت تغطيتها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ساعات التدريس المخطط لها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CA67E4" w:rsidRDefault="00355FAC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A67E4"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  <w:t>ساعات التدريس</w:t>
            </w: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الفعلية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D9D9D9"/>
          </w:tcPr>
          <w:p w:rsidR="00355FAC" w:rsidRPr="00CA67E4" w:rsidRDefault="007B6196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</w:pP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 xml:space="preserve">أسباب </w:t>
            </w:r>
            <w:proofErr w:type="gramStart"/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الاختلاف ،</w:t>
            </w:r>
            <w:proofErr w:type="gramEnd"/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 xml:space="preserve"> إذا زادت نسبة الاختلاف عن عدد الساعات المخطط لها مسبقا 25</w:t>
            </w:r>
            <w:r w:rsidR="00CB2E60"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%</w:t>
            </w:r>
          </w:p>
        </w:tc>
      </w:tr>
      <w:tr w:rsidR="00253763" w:rsidRPr="00857A54" w:rsidTr="00CA67E4">
        <w:trPr>
          <w:trHeight w:val="1031"/>
        </w:trPr>
        <w:tc>
          <w:tcPr>
            <w:tcW w:w="3982" w:type="dxa"/>
          </w:tcPr>
          <w:p w:rsidR="00437692" w:rsidRPr="00437692" w:rsidRDefault="00437692" w:rsidP="00437692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r w:rsidRPr="00437692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قسمة </w:t>
            </w:r>
            <w:proofErr w:type="gramStart"/>
            <w:r w:rsidRPr="00437692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التركات :</w:t>
            </w:r>
            <w:proofErr w:type="gramEnd"/>
          </w:p>
          <w:p w:rsidR="00EC76E8" w:rsidRPr="00EC76E8" w:rsidRDefault="00437692" w:rsidP="00437692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437692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المراد </w:t>
            </w:r>
            <w:proofErr w:type="gramStart"/>
            <w:r w:rsidRPr="00437692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بها ،</w:t>
            </w:r>
            <w:proofErr w:type="gramEnd"/>
            <w:r w:rsidRPr="00437692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 أهميتها ، أنواع التركة ، وقت القسمة ، طرق قسمة كل نوع ،الطرق الحاسوبية ، تطبيقات عامة على قسمة التركة .  تطبيقات عامة على </w:t>
            </w:r>
            <w:proofErr w:type="gramStart"/>
            <w:r w:rsidRPr="00437692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العصبة .</w:t>
            </w:r>
            <w:proofErr w:type="gramEnd"/>
          </w:p>
          <w:p w:rsidR="00EC76E8" w:rsidRPr="00EC76E8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</w:p>
          <w:p w:rsidR="00E30086" w:rsidRP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3008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lastRenderedPageBreak/>
              <w:t>التوريث بالتقدير والاحتياط:</w:t>
            </w:r>
          </w:p>
          <w:p w:rsidR="00E30086" w:rsidRP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3008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ar-SA"/>
              </w:rPr>
              <w:t xml:space="preserve">أ-ميراث </w:t>
            </w:r>
            <w:proofErr w:type="gramStart"/>
            <w:r w:rsidRPr="00E3008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ar-SA"/>
              </w:rPr>
              <w:t>الخنثى :</w:t>
            </w:r>
            <w:proofErr w:type="gramEnd"/>
          </w:p>
          <w:p w:rsidR="00E30086" w:rsidRP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3008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تعريف الخنثى عند </w:t>
            </w:r>
            <w:proofErr w:type="gramStart"/>
            <w:r w:rsidRPr="00E3008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الفقهاء ،</w:t>
            </w:r>
            <w:proofErr w:type="gramEnd"/>
            <w:r w:rsidRPr="00E3008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وعند الأطباء في الوقت الحاضر ، جهات وجوده ، أقسامه ، أنواع الخنثى المشكل ، ما يتضح به أمر الخنثى ، الاستفادة من تقرير  الطب الحديث، الخلاف في توريث الخنثى ، كيفية توريث الخنثى المشكل ،  صفة العمل إذا كان يرجى اتضاح حاله و صفة العمل إذا كان لا يرجى اتضاح حاله.</w:t>
            </w:r>
          </w:p>
          <w:p w:rsidR="00253763" w:rsidRPr="007038BE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3008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 xml:space="preserve"> تطبيقات عامة على مسائل </w:t>
            </w:r>
            <w:proofErr w:type="gramStart"/>
            <w:r w:rsidRPr="00E3008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ar-SA"/>
              </w:rPr>
              <w:t>الخنثى .</w:t>
            </w:r>
            <w:proofErr w:type="gramEnd"/>
          </w:p>
        </w:tc>
        <w:tc>
          <w:tcPr>
            <w:tcW w:w="2410" w:type="dxa"/>
          </w:tcPr>
          <w:p w:rsidR="00253763" w:rsidRPr="00940896" w:rsidRDefault="00EC76E8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940896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lastRenderedPageBreak/>
              <w:t>6</w:t>
            </w:r>
          </w:p>
          <w:p w:rsid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30086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30086" w:rsidRPr="00857A54" w:rsidRDefault="00E30086" w:rsidP="00E30086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40896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6</w:t>
            </w:r>
          </w:p>
        </w:tc>
        <w:tc>
          <w:tcPr>
            <w:tcW w:w="1417" w:type="dxa"/>
          </w:tcPr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253763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B959A3" w:rsidRPr="00B959A3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EG"/>
              </w:rPr>
            </w:pPr>
            <w:r w:rsidRPr="00B95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- يكتب لا يوجد</w:t>
            </w:r>
          </w:p>
          <w:p w:rsidR="00253763" w:rsidRPr="00857A54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ب- يبين سبب اختلاف ساعات </w:t>
            </w:r>
            <w:proofErr w:type="spellStart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التتدريس</w:t>
            </w:r>
            <w:proofErr w:type="spellEnd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الخاصة بالعضوة عن المخطط </w:t>
            </w:r>
            <w:proofErr w:type="gramStart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لها  (</w:t>
            </w:r>
            <w:proofErr w:type="gramEnd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كوجود مؤتمر</w:t>
            </w:r>
            <w:r w:rsidRPr="00B959A3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للقسم)</w:t>
            </w:r>
          </w:p>
        </w:tc>
      </w:tr>
      <w:tr w:rsidR="00253763" w:rsidRPr="00857A54" w:rsidTr="00CA67E4">
        <w:tc>
          <w:tcPr>
            <w:tcW w:w="3982" w:type="dxa"/>
          </w:tcPr>
          <w:p w:rsidR="00067B5F" w:rsidRPr="00067B5F" w:rsidRDefault="00067B5F" w:rsidP="00067B5F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r w:rsidRPr="00067B5F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ب -ميراث </w:t>
            </w:r>
            <w:proofErr w:type="gramStart"/>
            <w:r w:rsidRPr="00067B5F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الحمل :</w:t>
            </w:r>
            <w:proofErr w:type="gramEnd"/>
          </w:p>
          <w:p w:rsidR="00067B5F" w:rsidRPr="00067B5F" w:rsidRDefault="00067B5F" w:rsidP="00067B5F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r w:rsidRPr="00067B5F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تعريف </w:t>
            </w:r>
            <w:proofErr w:type="gramStart"/>
            <w:r w:rsidRPr="00067B5F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الحمل ،</w:t>
            </w:r>
            <w:proofErr w:type="gramEnd"/>
            <w:r w:rsidRPr="00067B5F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 دليل إرثه ، شروط إرثه، ما يتحقق به كل شرط ، أقل مدة يرث فيها الحمل وأكثرها ، مذاهب العلماء في مدة الحمل ، مدى الاستفادة من الطب الحديث في هذه المسألة ،  قسمة التركة قبل وضع الحمل ، تقادير الحمل ، أحوال الوارث مع الحمل ، ما يوقف من التركة إلى وضع الحمل ، صفة العمل في مسائل الحمل ، توزيع الموقوف من التركة لأجل الحمل.</w:t>
            </w:r>
          </w:p>
          <w:p w:rsidR="00253763" w:rsidRPr="007038BE" w:rsidRDefault="00067B5F" w:rsidP="00067B5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067B5F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 تطبيقات عامة على مسائل </w:t>
            </w:r>
            <w:proofErr w:type="gramStart"/>
            <w:r w:rsidRPr="00067B5F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الحمل .</w:t>
            </w:r>
            <w:proofErr w:type="gramEnd"/>
          </w:p>
        </w:tc>
        <w:tc>
          <w:tcPr>
            <w:tcW w:w="2410" w:type="dxa"/>
          </w:tcPr>
          <w:p w:rsidR="00253763" w:rsidRPr="00B44BDF" w:rsidRDefault="00B44BDF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  <w:lang w:val="en-US"/>
              </w:rPr>
            </w:pPr>
            <w:r w:rsidRPr="00B44BDF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EE75BB" w:rsidRPr="00EE75BB" w:rsidRDefault="00EE75BB" w:rsidP="00EE75B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E75BB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ج-ميراث </w:t>
            </w:r>
            <w:proofErr w:type="gramStart"/>
            <w:r w:rsidRPr="00EE75BB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المفقود :</w:t>
            </w:r>
            <w:proofErr w:type="gramEnd"/>
          </w:p>
          <w:p w:rsidR="00EE75BB" w:rsidRPr="00EE75BB" w:rsidRDefault="00EE75BB" w:rsidP="00EE75B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E75B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تعريف </w:t>
            </w:r>
            <w:proofErr w:type="gramStart"/>
            <w:r w:rsidRPr="00EE75B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المفقود ،</w:t>
            </w:r>
            <w:proofErr w:type="gramEnd"/>
            <w:r w:rsidRPr="00EE75B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حالات المفقود ، مدة انتظار المفقود ، أثر تقدم وسائل الاتصال الحديثة في تحديد مدة المفقود ، أحوال الوارث مع المفقود ،، حكم الموقوف  من التركة لأجل المفقود ، الحكم فيما إذا بان المفقود حيا بعد الحكم بموته، صفة العمل في مسائل المفقود ،</w:t>
            </w:r>
          </w:p>
          <w:p w:rsidR="00EB73DE" w:rsidRDefault="00EE75BB" w:rsidP="00EE75BB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E75B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تطبيقات عامة على مسائل </w:t>
            </w:r>
            <w:proofErr w:type="gramStart"/>
            <w:r w:rsidRPr="00EE75B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المفقود .</w:t>
            </w:r>
            <w:proofErr w:type="gramEnd"/>
          </w:p>
          <w:p w:rsidR="00E90131" w:rsidRPr="00EB73DE" w:rsidRDefault="00E90131" w:rsidP="00E90131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</w:p>
          <w:p w:rsidR="00E90131" w:rsidRPr="00E90131" w:rsidRDefault="00E90131" w:rsidP="00E90131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90131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-ميراث الغرقى </w:t>
            </w:r>
            <w:proofErr w:type="spellStart"/>
            <w:proofErr w:type="gramStart"/>
            <w:r w:rsidRPr="00E90131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والهدمى</w:t>
            </w:r>
            <w:proofErr w:type="spellEnd"/>
            <w:r w:rsidRPr="00E90131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 :</w:t>
            </w:r>
            <w:proofErr w:type="gramEnd"/>
          </w:p>
          <w:p w:rsidR="00E90131" w:rsidRPr="00E90131" w:rsidRDefault="00E90131" w:rsidP="00E90131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تعريف الغرقى </w:t>
            </w:r>
            <w:proofErr w:type="spellStart"/>
            <w:proofErr w:type="gramStart"/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والهدمى</w:t>
            </w:r>
            <w:proofErr w:type="spellEnd"/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،</w:t>
            </w:r>
            <w:proofErr w:type="gramEnd"/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وبيان المراد بهم في المواريث ،  ومن يلحق بهم في العصر الحديث ، حالات الغرقى ونحوهم إجمالا ،  توارث الغرقى </w:t>
            </w:r>
            <w:proofErr w:type="spellStart"/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والهدمى</w:t>
            </w:r>
            <w:proofErr w:type="spellEnd"/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، مدى الاستفادة من تقرير الأطباء في معرفة المتقدم والمتأخر وفاة ، المال الذي يتوارثه الغرقى ونحوهم والذي لا يتوارثونه.</w:t>
            </w:r>
          </w:p>
          <w:p w:rsidR="00E90131" w:rsidRPr="00E90131" w:rsidRDefault="00E90131" w:rsidP="00E90131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صفة العمل في مسائل الغرقى عند القائلين </w:t>
            </w:r>
            <w:proofErr w:type="gramStart"/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بتوارثهم .</w:t>
            </w:r>
            <w:proofErr w:type="gramEnd"/>
          </w:p>
          <w:p w:rsidR="00253763" w:rsidRPr="007038BE" w:rsidRDefault="00E90131" w:rsidP="00E90131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تطبيقات عامة على مسائل </w:t>
            </w:r>
            <w:proofErr w:type="gramStart"/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الغرقى  ومن</w:t>
            </w:r>
            <w:proofErr w:type="gramEnd"/>
            <w:r w:rsidRPr="00E9013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في حكمهم.</w:t>
            </w:r>
          </w:p>
        </w:tc>
        <w:tc>
          <w:tcPr>
            <w:tcW w:w="2410" w:type="dxa"/>
          </w:tcPr>
          <w:p w:rsidR="00253763" w:rsidRDefault="00EB73DE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>6</w:t>
            </w: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90131" w:rsidRPr="00857A54" w:rsidRDefault="00E90131" w:rsidP="00E90131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417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lastRenderedPageBreak/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F24507" w:rsidRPr="00F24507" w:rsidRDefault="00F24507" w:rsidP="00F24507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F24507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الرد :</w:t>
            </w:r>
            <w:proofErr w:type="gramEnd"/>
          </w:p>
          <w:p w:rsidR="00253763" w:rsidRPr="007038BE" w:rsidRDefault="00F24507" w:rsidP="00F24507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24507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معنى </w:t>
            </w:r>
            <w:proofErr w:type="gramStart"/>
            <w:r w:rsidRPr="00F24507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الرد ،</w:t>
            </w:r>
            <w:proofErr w:type="gramEnd"/>
            <w:r w:rsidRPr="00F24507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 مذاهب العلماء فيه ، شروط الرد ، مذاهب العلماء في من يرد عليهم ، أصناف أهل الرد ، عدد من يجتمع منهم ، أصول مسائل أهل الرد ، والأصل الذي تؤخذ منه مسائل أهل الرد ، ، صفة العمل في مسائل الرد إذا لم يكن معهم أحد الزوجين ، و صفة العمل إذا كان معهم أحد الزوجين ، تطبيقات عامة على مسائل الرد</w:t>
            </w:r>
          </w:p>
        </w:tc>
        <w:tc>
          <w:tcPr>
            <w:tcW w:w="2410" w:type="dxa"/>
          </w:tcPr>
          <w:p w:rsidR="00253763" w:rsidRPr="00857A54" w:rsidRDefault="00F24507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DA77B8" w:rsidRPr="00DA77B8" w:rsidRDefault="00DA77B8" w:rsidP="00DA77B8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A77B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ميراث ذوي </w:t>
            </w:r>
            <w:proofErr w:type="gramStart"/>
            <w:r w:rsidRPr="00DA77B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الأرحام :</w:t>
            </w:r>
            <w:proofErr w:type="gramEnd"/>
          </w:p>
          <w:p w:rsidR="00DA77B8" w:rsidRPr="00DA77B8" w:rsidRDefault="00DA77B8" w:rsidP="00DA77B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A77B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تعريف ذوي </w:t>
            </w:r>
            <w:proofErr w:type="gramStart"/>
            <w:r w:rsidRPr="00DA77B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الأرحام ،</w:t>
            </w:r>
            <w:proofErr w:type="gramEnd"/>
            <w:r w:rsidRPr="00DA77B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مذاهب العلماء في توريثهم ، شروط إرثهم ، أصنافهم ، كيفية توريث ذوي الأرحام ، جهاتهم ، أحكامهم من حيث الحجب ، اجتماع جهتين في شخص واحد ، حكم تفضيل الذكر على الأنثى من ذوي الأرحام ، صفة العمل في مسائل ذوي الأرحام إذا لم يكن معهم أحد الزوجين ، صفة العمل في مسائل ذوي الأرحام إذا كان معهم أحد الزوجين .</w:t>
            </w:r>
          </w:p>
          <w:p w:rsidR="00DA77B8" w:rsidRPr="00DA77B8" w:rsidRDefault="00DA77B8" w:rsidP="00DA77B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DA77B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تطبيقات  عامة</w:t>
            </w:r>
            <w:proofErr w:type="gramEnd"/>
            <w:r w:rsidRPr="00DA77B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على مسائل ذوي الأرحام .</w:t>
            </w:r>
          </w:p>
          <w:p w:rsidR="00253763" w:rsidRPr="007038BE" w:rsidRDefault="00DA77B8" w:rsidP="00DA77B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DA77B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تطبيقات عامة على قسمة التركات لكل ما تقدمت </w:t>
            </w:r>
            <w:proofErr w:type="gramStart"/>
            <w:r w:rsidRPr="00DA77B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دراسته </w:t>
            </w:r>
            <w:r w:rsidR="006A1D95"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  <w:proofErr w:type="gramEnd"/>
          </w:p>
        </w:tc>
        <w:tc>
          <w:tcPr>
            <w:tcW w:w="2410" w:type="dxa"/>
          </w:tcPr>
          <w:p w:rsidR="00253763" w:rsidRPr="00857A54" w:rsidRDefault="00DA77B8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>9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</w:tbl>
    <w:p w:rsidR="00857A54" w:rsidRPr="00E8014E" w:rsidRDefault="00857A54" w:rsidP="00857A54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3358B3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62"/>
        <w:gridCol w:w="2876"/>
        <w:gridCol w:w="2848"/>
      </w:tblGrid>
      <w:tr w:rsidR="00B82FD8" w:rsidRPr="00E8014E" w:rsidTr="009C6A94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توضيح </w:t>
            </w:r>
            <w:r w:rsidR="00A6356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أنواع التركات وطرق </w:t>
            </w:r>
            <w:proofErr w:type="gramStart"/>
            <w:r w:rsidR="00A6356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قسمتها </w:t>
            </w:r>
            <w:r w:rsidR="0024283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76" w:type="dxa"/>
            <w:vMerge w:val="restart"/>
            <w:vAlign w:val="center"/>
          </w:tcPr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الصفية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الحوار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والنقاش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داخل القاعة في المراجع مع التحليل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والشرح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تلخيص المعلومات</w:t>
            </w: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والرسومات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الشجرية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وعرضها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بأجهزة العرض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تبادل الأدوار والمحكمة الصورية.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العصف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الذهني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الأبحاث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الفردية  والجماعية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التعلم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الذاتي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الفقهية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الخارجية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المنزلية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 على توضيح </w:t>
            </w:r>
            <w:r w:rsidR="0083720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المراد بالخنثى المشكل وكيفية ميراثه.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873945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التعريف </w:t>
            </w:r>
            <w:r w:rsidR="00107CA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على أحكام ميراث </w:t>
            </w:r>
            <w:proofErr w:type="gramStart"/>
            <w:r w:rsidR="00107CA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الحمل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62" w:type="dxa"/>
            <w:vAlign w:val="center"/>
          </w:tcPr>
          <w:p w:rsidR="00E14468" w:rsidRPr="00236B9B" w:rsidRDefault="00236B9B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236B9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أن يكون الطالب قادرًا على</w:t>
            </w:r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شرح أحكام ميراث المفقود</w:t>
            </w:r>
            <w:r w:rsidR="0024283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62" w:type="dxa"/>
            <w:vAlign w:val="center"/>
          </w:tcPr>
          <w:p w:rsidR="00E14468" w:rsidRPr="009334CD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DC045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معرفة </w:t>
            </w:r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احكام الغرقى </w:t>
            </w:r>
            <w:proofErr w:type="spellStart"/>
            <w:proofErr w:type="gramStart"/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والهدمى</w:t>
            </w:r>
            <w:proofErr w:type="spellEnd"/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،</w:t>
            </w:r>
            <w:proofErr w:type="gramEnd"/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وكيفية توريثهم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62" w:type="dxa"/>
            <w:vAlign w:val="center"/>
          </w:tcPr>
          <w:p w:rsidR="00E14468" w:rsidRPr="00134897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بيان معنى الرد في المسائل </w:t>
            </w:r>
            <w:proofErr w:type="gramStart"/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وكيفيته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1,7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</w:t>
            </w:r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على تحديد ذوي الأرحام في المواريث وكيفية </w:t>
            </w:r>
            <w:proofErr w:type="gramStart"/>
            <w:r w:rsidR="00C70254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توريثهم .</w:t>
            </w:r>
            <w:proofErr w:type="gramEnd"/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4E560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,</w:t>
            </w:r>
            <w:r w:rsidR="00C7025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bookmarkStart w:id="0" w:name="LastPosition"/>
            <w:bookmarkEnd w:id="0"/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استعراض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مواضع الخلاف بين الصحابة فيما يمر به من المسائل ومرجع اجتهاد كل </w:t>
            </w:r>
            <w:proofErr w:type="gramStart"/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منهم ،</w:t>
            </w:r>
            <w:proofErr w:type="gramEnd"/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 ويرجح ما يراه صواباً.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E14468" w:rsidRPr="00697331" w:rsidRDefault="00285238" w:rsidP="0069733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  <w:lang w:val="en-US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697331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  <w:lang w:val="en-US"/>
              </w:rPr>
              <w:t xml:space="preserve">استخدام القواعد والأصول لحل مسائل المواريث بطريقة صحيحة </w:t>
            </w:r>
          </w:p>
        </w:tc>
        <w:tc>
          <w:tcPr>
            <w:tcW w:w="2876" w:type="dxa"/>
            <w:vMerge w:val="restart"/>
            <w:vAlign w:val="center"/>
          </w:tcPr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القراءة الفقهية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الناقدة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تحليل وتفسير المادة العلمية المقروءة داخل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القاعة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البحث العلمي في المصادر الفقهية وقواعد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مهارة التقسيم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والتصنيف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الفروق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الأدوار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مجموعات النقاش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الصغيرة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عرض المنهج العلمي لاستنباط الأحكام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الشرعية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الزيارات الميدانية للمعمل الفقهي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حضور الندوات وحلقات النقاش الفقهية.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أسلوب دراسة النوازل الفقهية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المناظرات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التدريب والتطبيق على بعض القواعد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استقراء المراجع الفقهية 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نماذج بحثية للمحاكاة</w:t>
            </w:r>
          </w:p>
        </w:tc>
        <w:tc>
          <w:tcPr>
            <w:tcW w:w="2848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rPr>
          <w:trHeight w:val="1028"/>
        </w:trPr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</w:t>
            </w:r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ى تحليل </w:t>
            </w:r>
            <w:proofErr w:type="gramStart"/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النصوص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الموازنة بين الأقوال </w:t>
            </w:r>
            <w:proofErr w:type="gramStart"/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والأدلة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البحث العلمي وترتيب المعلومات من المصادر المختلفة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يبرهن على تميز النظام الإسلامي في التوريث.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استنباط الأحكام الشرعية من نصوص الكتاب والسنة وفق المنهجية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العلمية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القواعد والأصول على فروع المسائل القديمة والنوازل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المستجدة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2،9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منهجية البحث العلمي عمليا 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المناشطالجماعية</w:t>
            </w:r>
            <w:proofErr w:type="spellEnd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تأليف فرق عمل لإنجاز 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بالإشراف على المناشط غير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عقد المناظرات الفقهية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الجماعية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ملف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الانجاز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البحوث العلمية الفردية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والجماعية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</w:t>
            </w:r>
            <w:proofErr w:type="gramStart"/>
            <w:r w:rsidR="009C6A9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العلمي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ب قادرًا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ممارسة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مهارات التواصل الفعال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قادرًا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العمل ضمن مجموعة عمل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إدارة 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الوقت وحسن </w:t>
            </w:r>
            <w:proofErr w:type="gramStart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استثماره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طالب قادرًا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على</w:t>
            </w:r>
            <w:r w:rsidR="00F21F58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التحلي</w:t>
            </w:r>
            <w:proofErr w:type="spellEnd"/>
            <w:r w:rsidR="00F21F58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بالأخلاق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 xml:space="preserve">لإسلامية في تعامله مع </w:t>
            </w:r>
            <w:proofErr w:type="gramStart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>أساتذته ،</w:t>
            </w:r>
            <w:proofErr w:type="gramEnd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 xml:space="preserve"> وزملائه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الحوار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والنقاش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التطبيقات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بإجراء البحوث والواجبات المنزلية باستخدام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التقنية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بعمل تقارير كتابية عن موضوعات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فقهية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قيام الطالب بتقديم المادة العلمية باستخدام أجهزة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العرض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المكتبة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الشاملة .</w:t>
            </w:r>
            <w:proofErr w:type="gramEnd"/>
          </w:p>
          <w:p w:rsidR="00E14468" w:rsidRPr="00E8014E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التحرير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 .</w:t>
            </w:r>
            <w:proofErr w:type="gramEnd"/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مسائل المواريث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تقديم</w:t>
            </w:r>
            <w:proofErr w:type="gramEnd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التقارير والواجبات باستخدام الحاسب الآلي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التواصل مع </w:t>
            </w:r>
            <w:proofErr w:type="gramStart"/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المدرس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التقنية</w:t>
            </w:r>
            <w:proofErr w:type="spellEnd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التواصل مع </w:t>
            </w:r>
            <w:proofErr w:type="gramStart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الزملاء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استخدام التقنية في متطلبات المقرر والحصول على المعلومات </w:t>
            </w:r>
            <w:proofErr w:type="gramStart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الحديثة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4،7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قادرا على التواصل كتابيا من خلال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التقارير .</w:t>
            </w:r>
            <w:proofErr w:type="gramEnd"/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3C422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4,8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قادرا على استخدام المهارات الحسابية في </w:t>
            </w:r>
            <w:proofErr w:type="spell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تفسيم</w:t>
            </w:r>
            <w:proofErr w:type="spellEnd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المواريث وحساب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التركات .</w:t>
            </w:r>
            <w:proofErr w:type="gramEnd"/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D1070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70448F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70448F" w:rsidRPr="0070448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70448F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70448F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70448F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70448F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70448F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70448F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6B5634" w:rsidRDefault="006B5634" w:rsidP="004A547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5634">
        <w:rPr>
          <w:rFonts w:ascii="Traditional Arabic" w:hAnsi="Traditional Arabic" w:cs="Traditional Arabic" w:hint="cs"/>
          <w:sz w:val="36"/>
          <w:szCs w:val="36"/>
          <w:rtl/>
        </w:rPr>
        <w:t xml:space="preserve">مصفوفة </w:t>
      </w:r>
      <w:proofErr w:type="gramStart"/>
      <w:r w:rsidRPr="006B5634">
        <w:rPr>
          <w:rFonts w:ascii="Traditional Arabic" w:hAnsi="Traditional Arabic" w:cs="Traditional Arabic" w:hint="cs"/>
          <w:sz w:val="36"/>
          <w:szCs w:val="36"/>
          <w:rtl/>
        </w:rPr>
        <w:t>الاختبار :</w:t>
      </w:r>
      <w:proofErr w:type="gramEnd"/>
    </w:p>
    <w:tbl>
      <w:tblPr>
        <w:tblStyle w:val="ac"/>
        <w:tblW w:w="9214" w:type="dxa"/>
        <w:tblLook w:val="04A0" w:firstRow="1" w:lastRow="0" w:firstColumn="1" w:lastColumn="0" w:noHBand="0" w:noVBand="1"/>
      </w:tblPr>
      <w:tblGrid>
        <w:gridCol w:w="991"/>
        <w:gridCol w:w="930"/>
        <w:gridCol w:w="987"/>
        <w:gridCol w:w="1074"/>
        <w:gridCol w:w="957"/>
        <w:gridCol w:w="4275"/>
      </w:tblGrid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  <w:r w:rsidRPr="006B5634">
              <w:rPr>
                <w:rFonts w:hint="cs"/>
                <w:rtl/>
                <w:lang w:val="en-US"/>
              </w:rPr>
              <w:t>نصيب الجانب الإدراكي</w:t>
            </w: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  <w:r w:rsidRPr="006B5634">
              <w:rPr>
                <w:rFonts w:hint="cs"/>
                <w:rtl/>
                <w:lang w:val="en-US"/>
              </w:rPr>
              <w:t>نصيب الجانب المعرفي</w:t>
            </w: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  <w:r w:rsidRPr="006B5634">
              <w:rPr>
                <w:rFonts w:hint="cs"/>
                <w:rtl/>
                <w:lang w:val="en-US"/>
              </w:rPr>
              <w:t>الدرجة المستحقة من 60</w:t>
            </w: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  <w:r w:rsidRPr="006B5634">
              <w:rPr>
                <w:rFonts w:hint="cs"/>
                <w:rtl/>
                <w:lang w:val="en-US"/>
              </w:rPr>
              <w:t>الوزن النسبي للموضوع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  <w:r w:rsidRPr="006B5634">
              <w:rPr>
                <w:rFonts w:hint="cs"/>
                <w:rtl/>
                <w:lang w:val="en-US"/>
              </w:rPr>
              <w:t>الساعات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lang w:val="en-US"/>
              </w:rPr>
            </w:pPr>
            <w:r w:rsidRPr="006B5634">
              <w:rPr>
                <w:rFonts w:hint="cs"/>
                <w:rtl/>
                <w:lang w:val="en-US"/>
              </w:rPr>
              <w:t>الموضوع</w:t>
            </w:r>
          </w:p>
        </w:tc>
      </w:tr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8</w:t>
            </w: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8</w:t>
            </w: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13.3%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  <w:r w:rsidRPr="006B5634">
              <w:rPr>
                <w:lang w:val="en-US"/>
              </w:rPr>
              <w:t>6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rPr>
                <w:rFonts w:hint="cs"/>
                <w:rtl/>
              </w:rPr>
              <w:t xml:space="preserve">قسمة التركات </w:t>
            </w:r>
          </w:p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</w:p>
        </w:tc>
      </w:tr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2</w:t>
            </w: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8</w:t>
            </w: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13.3%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rPr>
                <w:rFonts w:hint="cs"/>
                <w:rtl/>
              </w:rPr>
              <w:t>ميراث الخنثى</w:t>
            </w:r>
          </w:p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</w:p>
        </w:tc>
      </w:tr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2</w:t>
            </w: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8</w:t>
            </w: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13.3%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rPr>
                <w:rFonts w:hint="cs"/>
                <w:rtl/>
              </w:rPr>
              <w:t>ميراث الحمل</w:t>
            </w:r>
          </w:p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</w:p>
        </w:tc>
      </w:tr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2</w:t>
            </w: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8</w:t>
            </w: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13.3%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rPr>
                <w:rFonts w:hint="cs"/>
                <w:rtl/>
              </w:rPr>
              <w:t xml:space="preserve">ميراث المفقود </w:t>
            </w:r>
          </w:p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</w:p>
        </w:tc>
      </w:tr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2</w:t>
            </w: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8</w:t>
            </w: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13.3%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rPr>
                <w:rFonts w:hint="cs"/>
                <w:rtl/>
              </w:rPr>
              <w:t xml:space="preserve">ميراث الغرقى </w:t>
            </w:r>
            <w:proofErr w:type="spellStart"/>
            <w:r w:rsidRPr="006B5634">
              <w:rPr>
                <w:rFonts w:hint="cs"/>
                <w:rtl/>
              </w:rPr>
              <w:t>والهدمى</w:t>
            </w:r>
            <w:proofErr w:type="spellEnd"/>
          </w:p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  <w:r w:rsidRPr="006B5634">
              <w:rPr>
                <w:rFonts w:hint="cs"/>
                <w:rtl/>
              </w:rPr>
              <w:t xml:space="preserve"> </w:t>
            </w:r>
          </w:p>
        </w:tc>
      </w:tr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4</w:t>
            </w: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4</w:t>
            </w: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8</w:t>
            </w: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13.3%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6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rPr>
                <w:rFonts w:hint="cs"/>
                <w:rtl/>
              </w:rPr>
              <w:t>الرد</w:t>
            </w:r>
          </w:p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</w:p>
        </w:tc>
      </w:tr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7</w:t>
            </w: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5</w:t>
            </w: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12</w:t>
            </w: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20%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9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rPr>
                <w:rFonts w:hint="cs"/>
                <w:rtl/>
              </w:rPr>
              <w:t xml:space="preserve">توريث ذوي الأرحام </w:t>
            </w:r>
          </w:p>
          <w:p w:rsidR="006B5634" w:rsidRPr="006B5634" w:rsidRDefault="006B5634" w:rsidP="004B15DB">
            <w:pPr>
              <w:jc w:val="right"/>
              <w:rPr>
                <w:rtl/>
                <w:lang w:val="en-US"/>
              </w:rPr>
            </w:pPr>
          </w:p>
        </w:tc>
      </w:tr>
      <w:tr w:rsidR="006B5634" w:rsidRPr="006B5634" w:rsidTr="006B5634">
        <w:tc>
          <w:tcPr>
            <w:tcW w:w="991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</w:p>
        </w:tc>
        <w:tc>
          <w:tcPr>
            <w:tcW w:w="930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</w:p>
        </w:tc>
        <w:tc>
          <w:tcPr>
            <w:tcW w:w="98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</w:p>
        </w:tc>
        <w:tc>
          <w:tcPr>
            <w:tcW w:w="1074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99.9</w:t>
            </w:r>
          </w:p>
        </w:tc>
        <w:tc>
          <w:tcPr>
            <w:tcW w:w="957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t>45</w:t>
            </w:r>
          </w:p>
        </w:tc>
        <w:tc>
          <w:tcPr>
            <w:tcW w:w="4275" w:type="dxa"/>
          </w:tcPr>
          <w:p w:rsidR="006B5634" w:rsidRPr="006B5634" w:rsidRDefault="006B5634" w:rsidP="004B15DB">
            <w:pPr>
              <w:jc w:val="right"/>
              <w:rPr>
                <w:rtl/>
              </w:rPr>
            </w:pPr>
            <w:r w:rsidRPr="006B5634">
              <w:rPr>
                <w:rFonts w:hint="cs"/>
                <w:rtl/>
              </w:rPr>
              <w:t>المجموع</w:t>
            </w:r>
          </w:p>
          <w:p w:rsidR="006B5634" w:rsidRPr="006B5634" w:rsidRDefault="006B5634" w:rsidP="004B15DB">
            <w:pPr>
              <w:jc w:val="right"/>
              <w:rPr>
                <w:rtl/>
              </w:rPr>
            </w:pPr>
          </w:p>
        </w:tc>
      </w:tr>
    </w:tbl>
    <w:p w:rsidR="006B5634" w:rsidRDefault="006B5634" w:rsidP="006B563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6358C1" w:rsidRPr="00B66124" w:rsidRDefault="006358C1" w:rsidP="006358C1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6358C1" w:rsidRDefault="006358C1" w:rsidP="006358C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6358C1" w:rsidRPr="001A6CDD" w:rsidRDefault="006358C1" w:rsidP="006358C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6358C1" w:rsidRPr="00B66124" w:rsidRDefault="006358C1" w:rsidP="006358C1">
      <w:pPr>
        <w:pStyle w:val="ad"/>
        <w:numPr>
          <w:ilvl w:val="0"/>
          <w:numId w:val="26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6358C1" w:rsidRPr="00B66124" w:rsidRDefault="006358C1" w:rsidP="006358C1">
      <w:pPr>
        <w:pStyle w:val="ad"/>
        <w:numPr>
          <w:ilvl w:val="0"/>
          <w:numId w:val="26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6358C1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6358C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358C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358C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358C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358C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358C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358C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358C1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6358C1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C1" w:rsidRPr="00B66124" w:rsidRDefault="006358C1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1" w:rsidRPr="00B66124" w:rsidRDefault="006358C1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6358C1" w:rsidRPr="00B66124" w:rsidRDefault="006358C1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6358C1" w:rsidRPr="00B66124" w:rsidRDefault="006358C1" w:rsidP="006358C1">
      <w:pPr>
        <w:rPr>
          <w:sz w:val="28"/>
          <w:szCs w:val="28"/>
          <w:rtl/>
        </w:rPr>
      </w:pPr>
    </w:p>
    <w:p w:rsidR="006358C1" w:rsidRPr="00B66124" w:rsidRDefault="006358C1" w:rsidP="006358C1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6358C1" w:rsidRPr="00B66124" w:rsidRDefault="006358C1" w:rsidP="006358C1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6358C1" w:rsidRPr="00B66124" w:rsidRDefault="006358C1" w:rsidP="006358C1">
      <w:pPr>
        <w:pStyle w:val="ad"/>
        <w:numPr>
          <w:ilvl w:val="0"/>
          <w:numId w:val="28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6358C1" w:rsidRPr="00B66124" w:rsidRDefault="006358C1" w:rsidP="006358C1">
      <w:pPr>
        <w:rPr>
          <w:sz w:val="32"/>
          <w:szCs w:val="32"/>
        </w:rPr>
      </w:pPr>
    </w:p>
    <w:p w:rsidR="00BB4D07" w:rsidRPr="006358C1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bookmarkStart w:id="1" w:name="_GoBack"/>
      <w:bookmarkEnd w:id="1"/>
    </w:p>
    <w:tbl>
      <w:tblPr>
        <w:tblStyle w:val="ac"/>
        <w:tblpPr w:leftFromText="180" w:rightFromText="180" w:vertAnchor="text" w:horzAnchor="margin" w:tblpXSpec="center" w:tblpY="6962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358C1" w:rsidRPr="00E8014E" w:rsidTr="006358C1">
        <w:tc>
          <w:tcPr>
            <w:tcW w:w="1693" w:type="dxa"/>
            <w:gridSpan w:val="2"/>
            <w:tcBorders>
              <w:top w:val="nil"/>
              <w:bottom w:val="nil"/>
            </w:tcBorders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193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358C1" w:rsidRPr="00E8014E" w:rsidTr="006358C1">
        <w:tc>
          <w:tcPr>
            <w:tcW w:w="878" w:type="dxa"/>
            <w:tcBorders>
              <w:top w:val="nil"/>
              <w:bottom w:val="nil"/>
            </w:tcBorders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lastRenderedPageBreak/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392" w:type="dxa"/>
            <w:gridSpan w:val="3"/>
            <w:tcBorders>
              <w:top w:val="nil"/>
              <w:bottom w:val="single" w:sz="2" w:space="0" w:color="auto"/>
            </w:tcBorders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6358C1" w:rsidRPr="00E8014E" w:rsidRDefault="006358C1" w:rsidP="006358C1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التقرير:</w:t>
            </w:r>
          </w:p>
        </w:tc>
        <w:tc>
          <w:tcPr>
            <w:tcW w:w="2212" w:type="dxa"/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358C1" w:rsidRPr="00E8014E" w:rsidTr="006358C1">
        <w:tc>
          <w:tcPr>
            <w:tcW w:w="1829" w:type="dxa"/>
            <w:gridSpan w:val="3"/>
            <w:tcBorders>
              <w:top w:val="nil"/>
              <w:bottom w:val="nil"/>
            </w:tcBorders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057" w:type="dxa"/>
            <w:gridSpan w:val="3"/>
            <w:tcBorders>
              <w:top w:val="nil"/>
              <w:bottom w:val="single" w:sz="2" w:space="0" w:color="auto"/>
            </w:tcBorders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358C1" w:rsidRPr="00E8014E" w:rsidTr="006358C1">
        <w:tc>
          <w:tcPr>
            <w:tcW w:w="878" w:type="dxa"/>
            <w:tcBorders>
              <w:top w:val="nil"/>
              <w:bottom w:val="nil"/>
            </w:tcBorders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6358C1" w:rsidRPr="00E8014E" w:rsidRDefault="006358C1" w:rsidP="006358C1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212" w:type="dxa"/>
          </w:tcPr>
          <w:p w:rsidR="006358C1" w:rsidRPr="00E8014E" w:rsidRDefault="006358C1" w:rsidP="006358C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B3" w:rsidRDefault="003358B3">
      <w:r>
        <w:separator/>
      </w:r>
    </w:p>
  </w:endnote>
  <w:endnote w:type="continuationSeparator" w:id="0">
    <w:p w:rsidR="003358B3" w:rsidRDefault="0033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92" w:rsidRPr="00E85FEB" w:rsidRDefault="00437692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437692" w:rsidRDefault="0084236E" w:rsidP="00A97885">
    <w:pPr>
      <w:pStyle w:val="a3"/>
      <w:bidi/>
      <w:jc w:val="right"/>
    </w:pPr>
    <w:r>
      <w:fldChar w:fldCharType="begin"/>
    </w:r>
    <w:r w:rsidR="00437692">
      <w:instrText xml:space="preserve"> PAGE   \* MERGEFORMAT </w:instrText>
    </w:r>
    <w:r>
      <w:fldChar w:fldCharType="separate"/>
    </w:r>
    <w:r w:rsidR="00933C87" w:rsidRPr="00933C87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437692" w:rsidRPr="0094487B" w:rsidRDefault="00437692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92" w:rsidRPr="00BD314D" w:rsidRDefault="00437692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437692" w:rsidRDefault="00437692" w:rsidP="003A369E">
    <w:pPr>
      <w:pStyle w:val="a3"/>
      <w:bidi/>
    </w:pPr>
  </w:p>
  <w:p w:rsidR="00437692" w:rsidRDefault="004376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B3" w:rsidRDefault="003358B3">
      <w:r>
        <w:separator/>
      </w:r>
    </w:p>
  </w:footnote>
  <w:footnote w:type="continuationSeparator" w:id="0">
    <w:p w:rsidR="003358B3" w:rsidRDefault="0033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92" w:rsidRDefault="00437692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692" w:rsidRPr="00E9121F" w:rsidRDefault="00437692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AA09F9"/>
    <w:multiLevelType w:val="hybridMultilevel"/>
    <w:tmpl w:val="344A8A86"/>
    <w:lvl w:ilvl="0" w:tplc="1ECE0D60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23"/>
  </w:num>
  <w:num w:numId="11">
    <w:abstractNumId w:val="9"/>
  </w:num>
  <w:num w:numId="12">
    <w:abstractNumId w:val="26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5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6"/>
  </w:num>
  <w:num w:numId="27">
    <w:abstractNumId w:val="21"/>
  </w:num>
  <w:num w:numId="2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67B5F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105C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CA1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6EC4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B7FF1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82B"/>
    <w:rsid w:val="00240903"/>
    <w:rsid w:val="002410BA"/>
    <w:rsid w:val="00241F0A"/>
    <w:rsid w:val="00241FBC"/>
    <w:rsid w:val="00242832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3763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0B2E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4574"/>
    <w:rsid w:val="002D4DF4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0CC"/>
    <w:rsid w:val="00327778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8B3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FAC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4159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22A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692"/>
    <w:rsid w:val="00437769"/>
    <w:rsid w:val="004377C7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670D8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3BBE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60B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47B89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3FC1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8C1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31"/>
    <w:rsid w:val="006973EF"/>
    <w:rsid w:val="006976E9"/>
    <w:rsid w:val="006A0874"/>
    <w:rsid w:val="006A0D0F"/>
    <w:rsid w:val="006A1D95"/>
    <w:rsid w:val="006A3234"/>
    <w:rsid w:val="006A3D53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634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8BE"/>
    <w:rsid w:val="00703BDB"/>
    <w:rsid w:val="0070448F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6196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177"/>
    <w:rsid w:val="0083323B"/>
    <w:rsid w:val="0083466B"/>
    <w:rsid w:val="00834A86"/>
    <w:rsid w:val="00834D4A"/>
    <w:rsid w:val="00834EAB"/>
    <w:rsid w:val="00835BB2"/>
    <w:rsid w:val="0083720D"/>
    <w:rsid w:val="00840422"/>
    <w:rsid w:val="0084066B"/>
    <w:rsid w:val="00841128"/>
    <w:rsid w:val="008418B9"/>
    <w:rsid w:val="00841DE5"/>
    <w:rsid w:val="0084236E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57A54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945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0B4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5CF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13B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3C87"/>
    <w:rsid w:val="00934957"/>
    <w:rsid w:val="00934D3E"/>
    <w:rsid w:val="00934E44"/>
    <w:rsid w:val="009354B5"/>
    <w:rsid w:val="00937D9B"/>
    <w:rsid w:val="00940896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A94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1FCB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17AA"/>
    <w:rsid w:val="00A22897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56C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4BDF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9A3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9AE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254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67E4"/>
    <w:rsid w:val="00CA77B3"/>
    <w:rsid w:val="00CB04CC"/>
    <w:rsid w:val="00CB0772"/>
    <w:rsid w:val="00CB1F1F"/>
    <w:rsid w:val="00CB27D0"/>
    <w:rsid w:val="00CB2D26"/>
    <w:rsid w:val="00CB2E60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534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7B8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452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1D1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6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13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3DE"/>
    <w:rsid w:val="00EB761B"/>
    <w:rsid w:val="00EC188D"/>
    <w:rsid w:val="00EC2C53"/>
    <w:rsid w:val="00EC327D"/>
    <w:rsid w:val="00EC46B0"/>
    <w:rsid w:val="00EC5A34"/>
    <w:rsid w:val="00EC5D9A"/>
    <w:rsid w:val="00EC76E8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5BB"/>
    <w:rsid w:val="00EE7B24"/>
    <w:rsid w:val="00EE7D97"/>
    <w:rsid w:val="00EE7E86"/>
    <w:rsid w:val="00EE7F25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688D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1F58"/>
    <w:rsid w:val="00F22926"/>
    <w:rsid w:val="00F22973"/>
    <w:rsid w:val="00F23CF4"/>
    <w:rsid w:val="00F2422D"/>
    <w:rsid w:val="00F24507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37ACB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0F6F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6358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01544-924F-437E-BD86-EF163F9B4376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62FD7E-5884-4397-9CFA-12513B06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2233</Words>
  <Characters>12732</Characters>
  <Application>Microsoft Office Word</Application>
  <DocSecurity>0</DocSecurity>
  <Lines>106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6</cp:revision>
  <cp:lastPrinted>2016-01-19T12:24:00Z</cp:lastPrinted>
  <dcterms:created xsi:type="dcterms:W3CDTF">2018-03-25T12:39:00Z</dcterms:created>
  <dcterms:modified xsi:type="dcterms:W3CDTF">2019-03-06T18:12:00Z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