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3B385E" w:rsidRPr="003B385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3B385E" w:rsidRPr="003B385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الجنايات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3B385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فقه</w:t>
      </w:r>
      <w:proofErr w:type="spellEnd"/>
      <w:proofErr w:type="gramEnd"/>
      <w:r w:rsidR="003B385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B385E" w:rsidRPr="003B385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432</w:t>
      </w:r>
    </w:p>
    <w:p w:rsidR="00064292" w:rsidRDefault="00064292" w:rsidP="0006429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064292" w:rsidRPr="00E8014E" w:rsidRDefault="00064292" w:rsidP="0006429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A607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F592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 </w:t>
            </w:r>
            <w:r w:rsidR="00A607F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الجنايات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A607F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432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F592F" w:rsidRDefault="00B82FD8" w:rsidP="00EF592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F592F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EF592F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r w:rsidR="00EF592F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385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385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385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B385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8410D4">
        <w:tc>
          <w:tcPr>
            <w:tcW w:w="4308" w:type="dxa"/>
          </w:tcPr>
          <w:p w:rsidR="002772A5" w:rsidRPr="002772A5" w:rsidRDefault="002772A5" w:rsidP="002772A5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772A5">
              <w:rPr>
                <w:rFonts w:ascii="Traditional Arabic" w:hAnsi="Traditional Arabic" w:cs="Traditional Arabic"/>
                <w:sz w:val="28"/>
                <w:szCs w:val="28"/>
                <w:rtl/>
              </w:rPr>
              <w:t>-م</w:t>
            </w:r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عنى </w:t>
            </w:r>
            <w:proofErr w:type="gramStart"/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الجنايات ,</w:t>
            </w:r>
            <w:proofErr w:type="gramEnd"/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والحكمة من مشروعية القصاص .</w:t>
            </w:r>
          </w:p>
          <w:p w:rsidR="002772A5" w:rsidRPr="002772A5" w:rsidRDefault="002772A5" w:rsidP="002772A5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-أقسام القتل بغير </w:t>
            </w:r>
            <w:proofErr w:type="gramStart"/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 ,</w:t>
            </w:r>
            <w:proofErr w:type="gramEnd"/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وضابط كل قسم .</w:t>
            </w:r>
          </w:p>
          <w:p w:rsidR="00DA4951" w:rsidRPr="002772A5" w:rsidRDefault="002772A5" w:rsidP="002772A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-صور القتل العمد القديمة </w:t>
            </w:r>
            <w:proofErr w:type="gramStart"/>
            <w:r w:rsidRPr="002772A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والمعاصرة .</w:t>
            </w:r>
            <w:proofErr w:type="gramEnd"/>
          </w:p>
          <w:p w:rsidR="00DA4951" w:rsidRPr="00B6065E" w:rsidRDefault="00DA4951" w:rsidP="00324863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A4951" w:rsidRPr="00E8014E" w:rsidRDefault="002772A5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582A81" w:rsidRPr="00582A81" w:rsidRDefault="00582A81" w:rsidP="00582A81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-عرض صور من الواقع للقتل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العمد ,</w:t>
            </w:r>
            <w:proofErr w:type="gramEnd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وشبه العمد , والخطأ .</w:t>
            </w:r>
          </w:p>
          <w:p w:rsidR="00582A81" w:rsidRPr="00582A81" w:rsidRDefault="00582A81" w:rsidP="00582A81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-أحكام جناية الصبي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والمجنون .</w:t>
            </w:r>
            <w:proofErr w:type="gramEnd"/>
          </w:p>
          <w:p w:rsidR="00E14468" w:rsidRPr="00657B44" w:rsidRDefault="00582A81" w:rsidP="00582A8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-أحكام الاشتراك في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582A8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582A81" w:rsidRPr="00582A81" w:rsidRDefault="00582A81" w:rsidP="00582A81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-قتل الجماعة بالواحد والأحكام المتعلقة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.</w:t>
            </w:r>
            <w:proofErr w:type="gramEnd"/>
          </w:p>
          <w:p w:rsidR="00582A81" w:rsidRPr="00582A81" w:rsidRDefault="00582A81" w:rsidP="00582A81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-شروط وجوب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  <w:p w:rsidR="00582A81" w:rsidRPr="00582A81" w:rsidRDefault="00582A81" w:rsidP="00582A81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-شروط استيفاء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  <w:p w:rsidR="00E14468" w:rsidRPr="00134897" w:rsidRDefault="00582A81" w:rsidP="00582A8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-آداب استيفاء </w:t>
            </w:r>
            <w:proofErr w:type="gramStart"/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582A8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8410D4">
        <w:tc>
          <w:tcPr>
            <w:tcW w:w="4308" w:type="dxa"/>
          </w:tcPr>
          <w:p w:rsidR="008C736E" w:rsidRPr="008C736E" w:rsidRDefault="008C736E" w:rsidP="008C736E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-الحقوق المتعلقة بالقتل </w:t>
            </w:r>
            <w:proofErr w:type="gramStart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العمد ,</w:t>
            </w:r>
            <w:proofErr w:type="gramEnd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وشبه العمد , والخطأ .</w:t>
            </w:r>
          </w:p>
          <w:p w:rsidR="008C736E" w:rsidRPr="008C736E" w:rsidRDefault="008C736E" w:rsidP="008C736E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-الأحكام المتعلقة بالقصاص فيما دون </w:t>
            </w:r>
            <w:proofErr w:type="gramStart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النفس .</w:t>
            </w:r>
            <w:proofErr w:type="gramEnd"/>
          </w:p>
          <w:p w:rsidR="008C736E" w:rsidRPr="008C736E" w:rsidRDefault="008C736E" w:rsidP="008C736E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spellStart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مسقطات</w:t>
            </w:r>
            <w:proofErr w:type="spellEnd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استيفاء </w:t>
            </w:r>
            <w:proofErr w:type="gramStart"/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  <w:p w:rsidR="008C736E" w:rsidRPr="008C736E" w:rsidRDefault="008C736E" w:rsidP="008C736E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-قتل الغيلة.</w:t>
            </w:r>
          </w:p>
          <w:p w:rsidR="008C736E" w:rsidRPr="008C736E" w:rsidRDefault="008C736E" w:rsidP="008C736E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-القصاص في الأطراف والجراح.</w:t>
            </w:r>
          </w:p>
          <w:p w:rsidR="000A4B9F" w:rsidRPr="00DB2853" w:rsidRDefault="008C736E" w:rsidP="008C736E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36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سراية الجناية.</w:t>
            </w:r>
          </w:p>
        </w:tc>
        <w:tc>
          <w:tcPr>
            <w:tcW w:w="1119" w:type="dxa"/>
            <w:vAlign w:val="center"/>
          </w:tcPr>
          <w:p w:rsidR="00DB2853" w:rsidRPr="00E8014E" w:rsidRDefault="008C736E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25273" w:rsidRPr="00125273" w:rsidRDefault="00125273" w:rsidP="00125273">
            <w:pPr>
              <w:pStyle w:val="a9"/>
              <w:widowControl w:val="0"/>
              <w:tabs>
                <w:tab w:val="left" w:pos="583"/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5273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-العفو عن </w:t>
            </w:r>
            <w:proofErr w:type="gramStart"/>
            <w:r w:rsidRPr="00125273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:</w:t>
            </w:r>
            <w:proofErr w:type="gramEnd"/>
            <w:r w:rsidRPr="00125273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فضله , وشروطه , وما يترتب عليه .</w:t>
            </w:r>
          </w:p>
          <w:p w:rsidR="00125273" w:rsidRPr="00125273" w:rsidRDefault="00125273" w:rsidP="00125273">
            <w:pPr>
              <w:pStyle w:val="a9"/>
              <w:widowControl w:val="0"/>
              <w:tabs>
                <w:tab w:val="left" w:pos="583"/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5273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-الصلح بأكثر من </w:t>
            </w:r>
            <w:proofErr w:type="gramStart"/>
            <w:r w:rsidRPr="00125273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الدية .</w:t>
            </w:r>
            <w:proofErr w:type="gramEnd"/>
          </w:p>
          <w:p w:rsidR="00E14468" w:rsidRPr="00E14468" w:rsidRDefault="00125273" w:rsidP="0012527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252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-استخدام المخدر(البنج) ونحوه في </w:t>
            </w:r>
            <w:proofErr w:type="gramStart"/>
            <w:r w:rsidRPr="001252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  <w:r w:rsidR="00F01977"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14468" w:rsidRPr="00E8014E" w:rsidRDefault="0012527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D568D" w:rsidRPr="00DD568D" w:rsidRDefault="00DD568D" w:rsidP="00DD568D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-أثر التقدم الطبي في إمكانية الاستيفاء من غير </w:t>
            </w:r>
            <w:proofErr w:type="gramStart"/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حيف .</w:t>
            </w:r>
            <w:proofErr w:type="gramEnd"/>
          </w:p>
          <w:p w:rsidR="00DD568D" w:rsidRPr="00DD568D" w:rsidRDefault="00DD568D" w:rsidP="00DD568D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-إعادة العضو المقطوع في </w:t>
            </w:r>
            <w:proofErr w:type="gramStart"/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  <w:p w:rsidR="00E14468" w:rsidRPr="007E180E" w:rsidRDefault="00DD568D" w:rsidP="00DD568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-جناية الطبيب </w:t>
            </w:r>
            <w:proofErr w:type="gramStart"/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ونحوه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60662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D568D" w:rsidRPr="00E8014E" w:rsidTr="005B74CF">
        <w:tc>
          <w:tcPr>
            <w:tcW w:w="4308" w:type="dxa"/>
            <w:vAlign w:val="center"/>
          </w:tcPr>
          <w:p w:rsidR="00DD568D" w:rsidRPr="00DD568D" w:rsidRDefault="00DD568D" w:rsidP="00DD568D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</w:t>
            </w:r>
            <w:proofErr w:type="gramStart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الدية :</w:t>
            </w:r>
            <w:proofErr w:type="gramEnd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 تعريفها , وأدلتها .</w:t>
            </w:r>
          </w:p>
          <w:p w:rsidR="00DD568D" w:rsidRPr="00DD568D" w:rsidRDefault="00DD568D" w:rsidP="00DD568D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-مَنْ يتحمل دية القتل </w:t>
            </w:r>
            <w:proofErr w:type="gramStart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العمد ,</w:t>
            </w:r>
            <w:proofErr w:type="gramEnd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 وشبه العمد , والخطأ .</w:t>
            </w:r>
          </w:p>
          <w:p w:rsidR="00DD568D" w:rsidRPr="00DD568D" w:rsidRDefault="00DD568D" w:rsidP="00DD568D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-أصول </w:t>
            </w:r>
            <w:proofErr w:type="gramStart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الديات ,</w:t>
            </w:r>
            <w:proofErr w:type="gramEnd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 ومقاديرها المعاصرة . </w:t>
            </w:r>
          </w:p>
          <w:p w:rsidR="00DD568D" w:rsidRPr="00DD568D" w:rsidRDefault="00DD568D" w:rsidP="00DD568D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-الآثار المترتبة على الخلاف في أصول </w:t>
            </w:r>
            <w:proofErr w:type="gramStart"/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الديات .</w:t>
            </w:r>
            <w:proofErr w:type="gramEnd"/>
          </w:p>
          <w:p w:rsidR="00DD568D" w:rsidRPr="00DD568D" w:rsidRDefault="00DD568D" w:rsidP="00DD568D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-مقدار ديتي الرجل </w:t>
            </w:r>
            <w:proofErr w:type="gramStart"/>
            <w:r w:rsidRPr="00DD56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والمرأة .</w:t>
            </w:r>
            <w:proofErr w:type="gramEnd"/>
          </w:p>
        </w:tc>
        <w:tc>
          <w:tcPr>
            <w:tcW w:w="1119" w:type="dxa"/>
            <w:vAlign w:val="center"/>
          </w:tcPr>
          <w:p w:rsidR="00DD568D" w:rsidRDefault="00DD568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D568D" w:rsidRPr="007E25A8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D568D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E6D9A" w:rsidRPr="00E8014E" w:rsidTr="005B74CF">
        <w:tc>
          <w:tcPr>
            <w:tcW w:w="4308" w:type="dxa"/>
            <w:vAlign w:val="center"/>
          </w:tcPr>
          <w:p w:rsidR="004E6D9A" w:rsidRPr="004E6D9A" w:rsidRDefault="004E6D9A" w:rsidP="004E6D9A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معنى الدية </w:t>
            </w:r>
            <w:proofErr w:type="gramStart"/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المغلظة,</w:t>
            </w:r>
            <w:proofErr w:type="gramEnd"/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والدية المخففة, ومواضع التغليظ  والتخفيف فيها.</w:t>
            </w:r>
          </w:p>
          <w:p w:rsidR="004E6D9A" w:rsidRPr="004E6D9A" w:rsidRDefault="004E6D9A" w:rsidP="004E6D9A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-الأحكام المتعلقة بضمان ما قد يترتب على التأديب من </w:t>
            </w:r>
            <w:proofErr w:type="spellStart"/>
            <w:proofErr w:type="gramStart"/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إتلافات</w:t>
            </w:r>
            <w:proofErr w:type="spellEnd"/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4E6D9A" w:rsidRPr="004E6D9A" w:rsidRDefault="004E6D9A" w:rsidP="004E6D9A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-مقدار دية </w:t>
            </w:r>
            <w:proofErr w:type="gramStart"/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الجنين .</w:t>
            </w:r>
            <w:proofErr w:type="gramEnd"/>
          </w:p>
          <w:p w:rsidR="004E6D9A" w:rsidRPr="00DD568D" w:rsidRDefault="004E6D9A" w:rsidP="004E6D9A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4E6D9A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-دية القن وجنايته.</w:t>
            </w:r>
          </w:p>
        </w:tc>
        <w:tc>
          <w:tcPr>
            <w:tcW w:w="1119" w:type="dxa"/>
            <w:vAlign w:val="center"/>
          </w:tcPr>
          <w:p w:rsidR="004E6D9A" w:rsidRDefault="004E6D9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E6D9A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E6D9A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E6D9A" w:rsidRPr="00E8014E" w:rsidTr="005B74CF">
        <w:tc>
          <w:tcPr>
            <w:tcW w:w="4308" w:type="dxa"/>
            <w:vAlign w:val="center"/>
          </w:tcPr>
          <w:p w:rsidR="00866BB0" w:rsidRPr="00866BB0" w:rsidRDefault="00866BB0" w:rsidP="00866BB0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-مقدار دية غير </w:t>
            </w:r>
            <w:proofErr w:type="gramStart"/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المسلم .</w:t>
            </w:r>
            <w:proofErr w:type="gramEnd"/>
          </w:p>
          <w:p w:rsidR="00866BB0" w:rsidRPr="00866BB0" w:rsidRDefault="00866BB0" w:rsidP="00866BB0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-الحكمة في تفاوت مقادير </w:t>
            </w:r>
            <w:proofErr w:type="gramStart"/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الديات .</w:t>
            </w:r>
            <w:proofErr w:type="gramEnd"/>
          </w:p>
          <w:p w:rsidR="004E6D9A" w:rsidRPr="004E6D9A" w:rsidRDefault="00866BB0" w:rsidP="00866BB0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-مقادير ديات الأعضاء </w:t>
            </w:r>
            <w:proofErr w:type="gramStart"/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والمنافع ,</w:t>
            </w:r>
            <w:proofErr w:type="gramEnd"/>
            <w:r w:rsidRPr="00866BB0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والجراح والشِّـجـاج , وكسر العظام ، والأسنان والشعور , وأحكامها .</w:t>
            </w:r>
          </w:p>
        </w:tc>
        <w:tc>
          <w:tcPr>
            <w:tcW w:w="1119" w:type="dxa"/>
            <w:vAlign w:val="center"/>
          </w:tcPr>
          <w:p w:rsidR="004E6D9A" w:rsidRDefault="00866BB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E6D9A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E6D9A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العاقلة :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معناها , وأمثلتها من الأقارب , وبدائلها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تحمله العاقلة من الديات وما لا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تحمله .</w:t>
            </w:r>
            <w:proofErr w:type="gramEnd"/>
          </w:p>
          <w:p w:rsidR="00631DE6" w:rsidRPr="00866BB0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الشروط  فيمن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يتحمل الدية من العاقلة 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-كيفية تحمل العاقلة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للدية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-الحكم عند عدم وجود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العاقلة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-مسؤولية بيت المال في تحمل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الدية .</w:t>
            </w:r>
            <w:proofErr w:type="gramEnd"/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-حكومة العدل: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معناها,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يمكن أن تقاس به  في العصر الحاضر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-الأحكام المتعلقة بجناية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الدابة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-التكييف الفقهي لحوادث وسائل النقل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الحديثة ,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والآثار المترتبة على ذلك.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-كفارة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: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معناها , وأنواعها , والحكمة منها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-دليل كفارة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-ما تجب فيه كفارة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 وما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لا تجب فيه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-كفارة القتل في حوادث وسائل النقل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-التتابع في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صيام  كفارة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القتل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-العجز عن كفارة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-التعدد في كفارة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: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تعدد القاتلين , و تعدد المقتولين ).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-معنى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القسامة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-أدلة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القسامة ,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والحكمة منها 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الدعوى التي تصح فيها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القسامة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-شروط صحة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القسامة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اللوث :</w:t>
            </w:r>
            <w:proofErr w:type="gram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معناه , وصوره المعاصرة 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-صفة القسامة، وموجبها.</w:t>
            </w:r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spell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النكول</w:t>
            </w:r>
            <w:proofErr w:type="spellEnd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أيمان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القسامة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-الحكم فيما إذا وجد ميت مسلم ولم يعرف </w:t>
            </w:r>
            <w:proofErr w:type="gramStart"/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قاتله .</w:t>
            </w:r>
            <w:proofErr w:type="gramEnd"/>
          </w:p>
          <w:p w:rsidR="00631DE6" w:rsidRPr="00631DE6" w:rsidRDefault="00631DE6" w:rsidP="00631DE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1DE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-الأحكام المترتبة على إجراء القسامة.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11577F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0564E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معرفة معنى </w:t>
            </w:r>
            <w:proofErr w:type="gramStart"/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الجنايات .</w:t>
            </w:r>
            <w:proofErr w:type="gramEnd"/>
          </w:p>
        </w:tc>
        <w:tc>
          <w:tcPr>
            <w:tcW w:w="2896" w:type="dxa"/>
            <w:vMerge w:val="restart"/>
            <w:vAlign w:val="center"/>
          </w:tcPr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الصفية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الحوار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والنقاش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داخل القاعة في المراجع مع التحليل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والشرح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تلخيص المعلومات</w:t>
            </w: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والرسومات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الشجرية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وعرضها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بأجهزة العرض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تبادل الأدوار والمحكمة الصورية.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العصف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الذهني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الأبحاث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الفردية  والجماعية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التعلم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الذاتي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الفقهية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الخارجية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المنزلية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proofErr w:type="spellStart"/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توضيح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الحكمة</w:t>
            </w:r>
            <w:proofErr w:type="spellEnd"/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من مشروعية </w:t>
            </w:r>
            <w:proofErr w:type="gramStart"/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القصاص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ذكر أنواع القتل </w:t>
            </w:r>
            <w:proofErr w:type="gramStart"/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وأحكامه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361FC7" w:rsidP="000F1B0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r w:rsidR="000564E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على ذكر أحكام العفو عن </w:t>
            </w:r>
            <w:proofErr w:type="gramStart"/>
            <w:r w:rsidR="000564E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القصاص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361FC7" w:rsidP="005B506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proofErr w:type="spellStart"/>
            <w:r w:rsidR="005B5062" w:rsidRPr="005B506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معرفة</w:t>
            </w:r>
            <w:proofErr w:type="spellEnd"/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أحكام </w:t>
            </w:r>
            <w:proofErr w:type="gramStart"/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الدية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4071A2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ذكر أحكام </w:t>
            </w:r>
            <w:proofErr w:type="gramStart"/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العاقلة </w:t>
            </w:r>
            <w:r w:rsidR="004071A2" w:rsidRPr="004071A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361FC7" w:rsidRDefault="00E14468" w:rsidP="00E8014E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يستعرض كفارة القتل </w:t>
            </w:r>
            <w:proofErr w:type="gramStart"/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بأنواعها .</w:t>
            </w:r>
            <w:proofErr w:type="gramEnd"/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</w:t>
            </w:r>
            <w:proofErr w:type="gramStart"/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القسامة .</w:t>
            </w:r>
            <w:bookmarkStart w:id="0" w:name="LastPosition"/>
            <w:bookmarkEnd w:id="0"/>
            <w:proofErr w:type="gramEnd"/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القراءة الفقهية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الناقدة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القاعة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البحث العلمي في المصادر الفقهية وقواعد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مهارة التقسيم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والتصنيف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الفروق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الصغيرة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عرض المنهج العلمي لاستنباط الأحكام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الزيارات الميدانية للمعمل الفقهي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أسلوب دراسة النوازل الفقهية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التدريب والتطبيق على بعض القواعد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استقراء المراجع الفقهية 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نماذج بحثية للمحاكاة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المناشطالجماعية</w:t>
            </w:r>
            <w:proofErr w:type="spellEnd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على المناشط غير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الفقهية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ملف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والنقاش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بإجراء البحوث والواجبات المنزلية باستخدام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فقهية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العرض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الشاملة .</w:t>
            </w:r>
            <w:proofErr w:type="gramEnd"/>
          </w:p>
          <w:p w:rsidR="00E14468" w:rsidRPr="00E8014E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التحرير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3B385E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 w:rsidR="003B385E" w:rsidRPr="003B385E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B385E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3B385E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3B385E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3B385E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3B385E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3B385E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064292" w:rsidP="00064292">
      <w:pPr>
        <w:jc w:val="right"/>
        <w:rPr>
          <w:rFonts w:asciiTheme="minorBidi" w:hAnsiTheme="minorBidi" w:cstheme="minorBidi"/>
          <w:rtl/>
          <w:lang w:val="en-US" w:bidi="ar-QA"/>
        </w:rPr>
      </w:pPr>
      <w:r>
        <w:rPr>
          <w:rFonts w:asciiTheme="minorBidi" w:hAnsiTheme="minorBidi" w:cstheme="minorBidi" w:hint="cs"/>
          <w:rtl/>
          <w:lang w:val="en-US" w:bidi="ar-QA"/>
        </w:rPr>
        <w:t xml:space="preserve">مصفوفة </w:t>
      </w:r>
      <w:proofErr w:type="gramStart"/>
      <w:r>
        <w:rPr>
          <w:rFonts w:asciiTheme="minorBidi" w:hAnsiTheme="minorBidi" w:cstheme="minorBidi" w:hint="cs"/>
          <w:rtl/>
          <w:lang w:val="en-US" w:bidi="ar-QA"/>
        </w:rPr>
        <w:t>الاختبار :</w:t>
      </w:r>
      <w:proofErr w:type="gramEnd"/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359"/>
        <w:gridCol w:w="957"/>
        <w:gridCol w:w="4346"/>
      </w:tblGrid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1134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60</w:t>
            </w:r>
          </w:p>
        </w:tc>
        <w:tc>
          <w:tcPr>
            <w:tcW w:w="1359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346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معنى </w:t>
            </w:r>
            <w:r w:rsidRPr="00CB7956">
              <w:rPr>
                <w:rFonts w:hint="cs"/>
                <w:sz w:val="32"/>
                <w:szCs w:val="32"/>
                <w:rtl/>
              </w:rPr>
              <w:t>الجنايات</w:t>
            </w:r>
            <w:r>
              <w:rPr>
                <w:rFonts w:hint="cs"/>
                <w:sz w:val="32"/>
                <w:szCs w:val="32"/>
                <w:rtl/>
              </w:rPr>
              <w:t xml:space="preserve">- أقسام القتل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صور القتل </w:t>
            </w:r>
          </w:p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الصور الحديثة للقتل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جناية الصبي والمجنون- الاشتراك في القتل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قتل الجماعة بالواحد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شروط وجوب واستيفاء القصاص-آداب الاستيفاء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الحقوق المتعلقة بالقتل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أحكام القصاص فيما دون النفس </w:t>
            </w:r>
            <w:r>
              <w:rPr>
                <w:sz w:val="32"/>
                <w:szCs w:val="32"/>
                <w:rtl/>
              </w:rPr>
              <w:t>–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مسقطات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الاستيفاء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قتل الغيلة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أحكام سراية الجناية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346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العفو عن القصاص- استخدام البنج في القصاص </w:t>
            </w:r>
            <w:r>
              <w:rPr>
                <w:sz w:val="32"/>
                <w:szCs w:val="32"/>
                <w:rtl/>
                <w:lang w:val="en-US"/>
              </w:rPr>
              <w:t>–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التقدم الطبي وأثره في الاستيفاء- إعادة العضو المقطوع- جناية الطبيب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Pr="00143213" w:rsidRDefault="00064292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أحكام الديات </w:t>
            </w:r>
            <w:r>
              <w:rPr>
                <w:sz w:val="32"/>
                <w:szCs w:val="32"/>
                <w:rtl/>
                <w:lang w:val="en-US"/>
              </w:rPr>
              <w:t>–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تعريفها </w:t>
            </w:r>
            <w:r>
              <w:rPr>
                <w:sz w:val="32"/>
                <w:szCs w:val="32"/>
                <w:rtl/>
                <w:lang w:val="en-US"/>
              </w:rPr>
              <w:t>–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أدلتها-من يتحملها </w:t>
            </w:r>
            <w:r>
              <w:rPr>
                <w:sz w:val="32"/>
                <w:szCs w:val="32"/>
                <w:rtl/>
                <w:lang w:val="en-US"/>
              </w:rPr>
              <w:t>–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أصولها-ومقاديرها المعاصرة </w:t>
            </w:r>
            <w:r>
              <w:rPr>
                <w:sz w:val="32"/>
                <w:szCs w:val="32"/>
                <w:rtl/>
                <w:lang w:val="en-US"/>
              </w:rPr>
              <w:t>–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مقدار دية الرجل والمرأة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Default="00064292" w:rsidP="004B15D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التغليظ والتخفيف في الدية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ضمان الإتلاف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دية الجنين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والقن</w:t>
            </w:r>
            <w:proofErr w:type="gramEnd"/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دية المسلم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مقادير ديات الأعضاء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346" w:type="dxa"/>
          </w:tcPr>
          <w:p w:rsidR="00064292" w:rsidRDefault="00064292" w:rsidP="004B15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العاقلة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Default="00064292" w:rsidP="004B15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حكومة العدل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حوداث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السيارات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46" w:type="dxa"/>
          </w:tcPr>
          <w:p w:rsidR="00064292" w:rsidRDefault="00064292" w:rsidP="004B15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كفارة القتل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346" w:type="dxa"/>
          </w:tcPr>
          <w:p w:rsidR="00064292" w:rsidRDefault="00064292" w:rsidP="004B15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القسامة </w:t>
            </w:r>
          </w:p>
        </w:tc>
      </w:tr>
      <w:tr w:rsidR="00064292" w:rsidRPr="00B66391" w:rsidTr="00064292">
        <w:tc>
          <w:tcPr>
            <w:tcW w:w="993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64292" w:rsidRPr="00B66391" w:rsidRDefault="00064292" w:rsidP="004B15DB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64292" w:rsidRPr="00CB7956" w:rsidRDefault="00064292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359" w:type="dxa"/>
          </w:tcPr>
          <w:p w:rsidR="00064292" w:rsidRPr="00CB7956" w:rsidRDefault="00064292" w:rsidP="004B15D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99.3</w:t>
            </w:r>
          </w:p>
        </w:tc>
        <w:tc>
          <w:tcPr>
            <w:tcW w:w="957" w:type="dxa"/>
          </w:tcPr>
          <w:p w:rsidR="00064292" w:rsidRDefault="00064292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4346" w:type="dxa"/>
          </w:tcPr>
          <w:p w:rsidR="00064292" w:rsidRDefault="00064292" w:rsidP="004B15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</w:tr>
    </w:tbl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55273A" w:rsidRPr="00B66124" w:rsidRDefault="0055273A" w:rsidP="0055273A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55273A" w:rsidRDefault="0055273A" w:rsidP="0055273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55273A" w:rsidRPr="001A6CDD" w:rsidRDefault="0055273A" w:rsidP="0055273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55273A" w:rsidRPr="00B66124" w:rsidRDefault="0055273A" w:rsidP="0055273A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55273A" w:rsidRPr="00B66124" w:rsidRDefault="0055273A" w:rsidP="0055273A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55273A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55273A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73A" w:rsidRPr="00B66124" w:rsidRDefault="0055273A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A" w:rsidRPr="00B66124" w:rsidRDefault="0055273A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55273A" w:rsidRPr="00B66124" w:rsidRDefault="0055273A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55273A" w:rsidRPr="00B66124" w:rsidRDefault="0055273A" w:rsidP="0055273A">
      <w:pPr>
        <w:rPr>
          <w:sz w:val="28"/>
          <w:szCs w:val="28"/>
          <w:rtl/>
        </w:rPr>
      </w:pPr>
    </w:p>
    <w:p w:rsidR="0055273A" w:rsidRPr="00B66124" w:rsidRDefault="0055273A" w:rsidP="0055273A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55273A" w:rsidRPr="00B66124" w:rsidRDefault="0055273A" w:rsidP="0055273A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55273A" w:rsidRPr="00B66124" w:rsidRDefault="0055273A" w:rsidP="0055273A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55273A" w:rsidRPr="00B66124" w:rsidRDefault="0055273A" w:rsidP="0055273A">
      <w:pPr>
        <w:rPr>
          <w:sz w:val="32"/>
          <w:szCs w:val="32"/>
        </w:rPr>
      </w:pPr>
    </w:p>
    <w:p w:rsidR="00BB4D07" w:rsidRPr="0055273A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bookmarkStart w:id="1" w:name="_GoBack"/>
      <w:bookmarkEnd w:id="1"/>
    </w:p>
    <w:tbl>
      <w:tblPr>
        <w:tblStyle w:val="ac"/>
        <w:tblpPr w:leftFromText="180" w:rightFromText="180" w:vertAnchor="text" w:horzAnchor="page" w:tblpX="2383" w:tblpY="2425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55273A" w:rsidRPr="00E8014E" w:rsidTr="0055273A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55273A" w:rsidRPr="00E8014E" w:rsidTr="0055273A">
        <w:tc>
          <w:tcPr>
            <w:tcW w:w="878" w:type="dxa"/>
            <w:tcBorders>
              <w:top w:val="nil"/>
              <w:bottom w:val="nil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lastRenderedPageBreak/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 w:hint="cs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55273A" w:rsidRPr="00E8014E" w:rsidRDefault="0055273A" w:rsidP="0055273A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55273A" w:rsidRPr="00E8014E" w:rsidTr="0055273A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55273A" w:rsidRPr="00E8014E" w:rsidTr="0055273A">
        <w:tc>
          <w:tcPr>
            <w:tcW w:w="878" w:type="dxa"/>
            <w:tcBorders>
              <w:top w:val="nil"/>
              <w:bottom w:val="nil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55273A" w:rsidRPr="00E8014E" w:rsidRDefault="0055273A" w:rsidP="0055273A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55273A" w:rsidRPr="00E8014E" w:rsidRDefault="0055273A" w:rsidP="0055273A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7F" w:rsidRDefault="0011577F">
      <w:r>
        <w:separator/>
      </w:r>
    </w:p>
  </w:endnote>
  <w:endnote w:type="continuationSeparator" w:id="0">
    <w:p w:rsidR="0011577F" w:rsidRDefault="001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B0" w:rsidRPr="00E85FEB" w:rsidRDefault="00866BB0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66BB0" w:rsidRDefault="00EB54AB" w:rsidP="00A97885">
    <w:pPr>
      <w:pStyle w:val="a3"/>
      <w:bidi/>
      <w:jc w:val="right"/>
    </w:pPr>
    <w:r>
      <w:fldChar w:fldCharType="begin"/>
    </w:r>
    <w:r w:rsidR="00866BB0">
      <w:instrText xml:space="preserve"> PAGE   \* MERGEFORMAT </w:instrText>
    </w:r>
    <w:r>
      <w:fldChar w:fldCharType="separate"/>
    </w:r>
    <w:r w:rsidR="00EF592F" w:rsidRPr="00EF592F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866BB0" w:rsidRPr="0094487B" w:rsidRDefault="00866BB0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B0" w:rsidRPr="00BD314D" w:rsidRDefault="00866BB0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66BB0" w:rsidRDefault="00866BB0" w:rsidP="003A369E">
    <w:pPr>
      <w:pStyle w:val="a3"/>
      <w:bidi/>
    </w:pPr>
  </w:p>
  <w:p w:rsidR="00866BB0" w:rsidRDefault="00866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7F" w:rsidRDefault="0011577F">
      <w:r>
        <w:separator/>
      </w:r>
    </w:p>
  </w:footnote>
  <w:footnote w:type="continuationSeparator" w:id="0">
    <w:p w:rsidR="0011577F" w:rsidRDefault="0011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B0" w:rsidRDefault="00866BB0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BB0" w:rsidRPr="00E9121F" w:rsidRDefault="00866BB0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B86"/>
    <w:multiLevelType w:val="hybridMultilevel"/>
    <w:tmpl w:val="411659F2"/>
    <w:numStyleLink w:val="1"/>
  </w:abstractNum>
  <w:abstractNum w:abstractNumId="9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6"/>
  </w:num>
  <w:num w:numId="16">
    <w:abstractNumId w:val="23"/>
  </w:num>
  <w:num w:numId="17">
    <w:abstractNumId w:val="27"/>
  </w:num>
  <w:num w:numId="18">
    <w:abstractNumId w:val="10"/>
  </w:num>
  <w:num w:numId="19">
    <w:abstractNumId w:val="21"/>
  </w:num>
  <w:num w:numId="20">
    <w:abstractNumId w:val="0"/>
  </w:num>
  <w:num w:numId="21">
    <w:abstractNumId w:val="16"/>
  </w:num>
  <w:num w:numId="22">
    <w:abstractNumId w:val="17"/>
  </w:num>
  <w:num w:numId="23">
    <w:abstractNumId w:val="12"/>
  </w:num>
  <w:num w:numId="24">
    <w:abstractNumId w:val="26"/>
  </w:num>
  <w:num w:numId="25">
    <w:abstractNumId w:val="1"/>
    <w:lvlOverride w:ilvl="0">
      <w:startOverride w:val="5"/>
    </w:lvlOverride>
  </w:num>
  <w:num w:numId="26">
    <w:abstractNumId w:val="25"/>
  </w:num>
  <w:num w:numId="27">
    <w:abstractNumId w:val="8"/>
    <w:lvlOverride w:ilvl="0">
      <w:startOverride w:val="2"/>
      <w:lvl w:ilvl="0" w:tplc="FE00DBF4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24C3D8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DEA45A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8A7340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B41FAA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2C1ED0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06174E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6D4A8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2A94AA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</w:num>
  <w:num w:numId="29">
    <w:abstractNumId w:val="2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64E9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292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DB0"/>
    <w:rsid w:val="00074E26"/>
    <w:rsid w:val="0007609C"/>
    <w:rsid w:val="00076394"/>
    <w:rsid w:val="000763D1"/>
    <w:rsid w:val="00076A17"/>
    <w:rsid w:val="000771A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B9F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800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77F"/>
    <w:rsid w:val="00115D5F"/>
    <w:rsid w:val="00117880"/>
    <w:rsid w:val="001228C7"/>
    <w:rsid w:val="00122B0E"/>
    <w:rsid w:val="00122C17"/>
    <w:rsid w:val="00122D4C"/>
    <w:rsid w:val="00123707"/>
    <w:rsid w:val="001245CF"/>
    <w:rsid w:val="00125273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D76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BD8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2A5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4863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FC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5C04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85E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26"/>
    <w:rsid w:val="004038B3"/>
    <w:rsid w:val="00403FD0"/>
    <w:rsid w:val="0040417E"/>
    <w:rsid w:val="00405288"/>
    <w:rsid w:val="00405FDB"/>
    <w:rsid w:val="00406C44"/>
    <w:rsid w:val="00406F47"/>
    <w:rsid w:val="004071A2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4DB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D9A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0B6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7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A81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1BB"/>
    <w:rsid w:val="005B2421"/>
    <w:rsid w:val="005B425F"/>
    <w:rsid w:val="005B5062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62F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DE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0B1"/>
    <w:rsid w:val="00682185"/>
    <w:rsid w:val="0068225F"/>
    <w:rsid w:val="00682562"/>
    <w:rsid w:val="00682CC6"/>
    <w:rsid w:val="006830EA"/>
    <w:rsid w:val="006839B6"/>
    <w:rsid w:val="0068451D"/>
    <w:rsid w:val="006852CC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25A8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0D4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BB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36E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6271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7E6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7CA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37B71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7F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18F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1DF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68D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4AB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592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A98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DD568D"/>
    <w:pPr>
      <w:numPr>
        <w:numId w:val="26"/>
      </w:numPr>
    </w:pPr>
  </w:style>
  <w:style w:type="table" w:customStyle="1" w:styleId="TableGrid">
    <w:name w:val="TableGrid"/>
    <w:rsid w:val="005527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7080B-FD22-4CFF-A379-5750ED99EC2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8413A2-7556-4E73-9C9B-D2D9FF15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2282</Words>
  <Characters>13013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5</cp:revision>
  <cp:lastPrinted>2016-01-19T12:24:00Z</cp:lastPrinted>
  <dcterms:created xsi:type="dcterms:W3CDTF">2018-03-25T20:00:00Z</dcterms:created>
  <dcterms:modified xsi:type="dcterms:W3CDTF">2019-03-06T18:13:00Z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