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4518A5" w:rsidRDefault="0008353A" w:rsidP="004518A5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4518A5" w:rsidRPr="004518A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فقه</w:t>
      </w:r>
      <w:proofErr w:type="gramEnd"/>
      <w:r w:rsidR="004518A5" w:rsidRPr="004518A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م 8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4518A5" w:rsidRPr="004518A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فقه</w:t>
      </w:r>
      <w:proofErr w:type="gramEnd"/>
      <w:r w:rsidR="004518A5" w:rsidRPr="004518A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450</w:t>
      </w:r>
    </w:p>
    <w:p w:rsidR="00CF4F90" w:rsidRDefault="00CF4F90" w:rsidP="00CF4F90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المقرر :</w:t>
      </w:r>
      <w:proofErr w:type="gramEnd"/>
    </w:p>
    <w:p w:rsidR="00CF4F90" w:rsidRPr="004518A5" w:rsidRDefault="00CF4F90" w:rsidP="00CF4F90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CE3B9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  <w:proofErr w:type="spellEnd"/>
            <w:proofErr w:type="gramEnd"/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CE3B9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450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4C5596" w:rsidRDefault="00B82FD8" w:rsidP="004C559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4C5596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4C5596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r w:rsidR="004C5596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4C5596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4C5596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tblStyle w:val="11"/>
        <w:bidiVisual/>
        <w:tblW w:w="9360" w:type="dxa"/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9C68E2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9C68E2">
        <w:trPr>
          <w:trHeight w:val="1052"/>
        </w:trPr>
        <w:tc>
          <w:tcPr>
            <w:tcW w:w="4308" w:type="dxa"/>
            <w:shd w:val="clear" w:color="auto" w:fill="808080" w:themeFill="background1" w:themeFillShade="80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808080" w:themeFill="background1" w:themeFillShade="80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9C68E2" w:rsidRPr="00E8014E" w:rsidTr="009C68E2">
        <w:trPr>
          <w:trHeight w:val="1052"/>
        </w:trPr>
        <w:tc>
          <w:tcPr>
            <w:tcW w:w="4308" w:type="dxa"/>
          </w:tcPr>
          <w:p w:rsidR="009C68E2" w:rsidRPr="009C68E2" w:rsidRDefault="009C68E2" w:rsidP="009C68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الحدود  </w:t>
            </w:r>
          </w:p>
          <w:p w:rsidR="009C68E2" w:rsidRPr="00E8014E" w:rsidRDefault="009C68E2" w:rsidP="009C68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C68E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9C68E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الزنا ،</w:t>
            </w:r>
            <w:proofErr w:type="gramEnd"/>
            <w:r w:rsidRPr="009C68E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، الحكمة من تحريمه ، عقوبة الزاني المحصن ، الجمع بين الجلد والرجم ، شروط الإحصان ، عقوبة الزاني غير المحصن ، الأدلة على ذلك ، عقوبة الزاني الرقيق ، عقوبة اللوطي ، شروط وجوب الحد للزنا ، الوطء وشروطه ، ثبوت الزنا بالإقرار أو الشهود ، ثبوت الزنا بالحمل .</w:t>
            </w:r>
          </w:p>
        </w:tc>
        <w:tc>
          <w:tcPr>
            <w:tcW w:w="1119" w:type="dxa"/>
          </w:tcPr>
          <w:p w:rsidR="009C68E2" w:rsidRPr="00E8014E" w:rsidRDefault="005D0730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1087" w:type="dxa"/>
          </w:tcPr>
          <w:p w:rsidR="005D0730" w:rsidRPr="00E8014E" w:rsidRDefault="005D0730" w:rsidP="005D0730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5D0730" w:rsidRDefault="005D0730" w:rsidP="005D0730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9C68E2" w:rsidRPr="00E8014E" w:rsidRDefault="009C68E2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846" w:type="dxa"/>
          </w:tcPr>
          <w:p w:rsidR="005D0730" w:rsidRPr="00E8014E" w:rsidRDefault="005D0730" w:rsidP="005D0730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9C68E2" w:rsidRPr="00E8014E" w:rsidRDefault="005D0730" w:rsidP="005D0730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05645C" w:rsidRPr="00E8014E" w:rsidTr="009C68E2">
        <w:trPr>
          <w:trHeight w:val="1052"/>
        </w:trPr>
        <w:tc>
          <w:tcPr>
            <w:tcW w:w="4308" w:type="dxa"/>
          </w:tcPr>
          <w:p w:rsidR="0005645C" w:rsidRPr="0005645C" w:rsidRDefault="0005645C" w:rsidP="000564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حد </w:t>
            </w:r>
            <w:proofErr w:type="gramStart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القذف :</w:t>
            </w:r>
            <w:proofErr w:type="gramEnd"/>
          </w:p>
          <w:p w:rsidR="0005645C" w:rsidRPr="0005645C" w:rsidRDefault="0005645C" w:rsidP="000564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</w:t>
            </w:r>
            <w:proofErr w:type="gramStart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بالقذف ،</w:t>
            </w:r>
            <w:proofErr w:type="gramEnd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وأدلة تحريمه ، عقوبة القذف باعتبار القاذف والمقذوف ، المراد بالمحصن في باب القذف ، من يملك حد القذف ، ألفاظ القذف ، قذف من لا يتصور منهم الزنا عادة ، ما يسقط حد القذف ، حق الورثة في المطالبة بحد القذف ، قذف الأنبياء عليهم الصلاة والسلام ، قذف زوجات النبي صلى الله عليه وسلم .</w:t>
            </w:r>
          </w:p>
          <w:p w:rsidR="0005645C" w:rsidRPr="0005645C" w:rsidRDefault="0005645C" w:rsidP="000564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حد </w:t>
            </w:r>
            <w:proofErr w:type="gramStart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السكر :</w:t>
            </w:r>
            <w:proofErr w:type="gramEnd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05645C" w:rsidRDefault="0005645C" w:rsidP="000564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</w:t>
            </w:r>
            <w:proofErr w:type="gramStart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بالمسكر ،</w:t>
            </w:r>
            <w:proofErr w:type="gramEnd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الحكمة من تحريمه ، تناول المخدرات ، تناول الحشيش ، التداوي بالخمر ، شروط ثبوت حد السكر ، عقوبة تعاطي المسكر ، شرب عصير العنب ونحوه .</w:t>
            </w:r>
          </w:p>
          <w:p w:rsidR="0005645C" w:rsidRPr="0005645C" w:rsidRDefault="0005645C" w:rsidP="000564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التعزير :</w:t>
            </w:r>
            <w:proofErr w:type="gramEnd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05645C" w:rsidRPr="0005645C" w:rsidRDefault="0005645C" w:rsidP="000564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</w:t>
            </w:r>
            <w:proofErr w:type="gramStart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بالتعزير ،</w:t>
            </w:r>
            <w:proofErr w:type="gramEnd"/>
            <w:r w:rsidRPr="0005645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، الحكمة من مشروعيته ، محله ، وأنواعه ، مقداره ، ما يؤثر في التعزير تغليظا وتخفيفا ، ما يحرم التعزي ربه ، التعزير بأخذ المال وإتلافه ، حكم الاستمناء ، تعزير العائن .</w:t>
            </w:r>
          </w:p>
          <w:p w:rsidR="0005645C" w:rsidRDefault="0005645C" w:rsidP="009C68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</w:tcPr>
          <w:p w:rsidR="0005645C" w:rsidRDefault="0005645C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1087" w:type="dxa"/>
          </w:tcPr>
          <w:p w:rsidR="0005645C" w:rsidRPr="00E8014E" w:rsidRDefault="0005645C" w:rsidP="005D0730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05645C" w:rsidRPr="00E8014E" w:rsidRDefault="0005645C" w:rsidP="005D0730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05645C" w:rsidRPr="00E8014E" w:rsidTr="009C68E2">
        <w:trPr>
          <w:trHeight w:val="1052"/>
        </w:trPr>
        <w:tc>
          <w:tcPr>
            <w:tcW w:w="4308" w:type="dxa"/>
          </w:tcPr>
          <w:p w:rsidR="00971B80" w:rsidRPr="00971B80" w:rsidRDefault="00971B80" w:rsidP="00971B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القطع في </w:t>
            </w:r>
            <w:proofErr w:type="gramStart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السرقة :</w:t>
            </w:r>
            <w:proofErr w:type="gramEnd"/>
          </w:p>
          <w:p w:rsidR="00971B80" w:rsidRPr="00971B80" w:rsidRDefault="00971B80" w:rsidP="00971B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السرقة ،</w:t>
            </w:r>
            <w:proofErr w:type="gramEnd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حكمها ، شروط القطع في السرقة : مالية المسروق واحترامه ، النصاب في السرقة ، الحرز ، اختلافه باختلاف الأموال والبلدان والأحوال ، انتفاء الشبهة عن السارق ، أنواع الشبهة وأمثلة كل نوع ، السرقة من الأقارب ، سرقة أحد الزوجين من الآخر ، السرقة من بيت المال ، ما تثبت به السرقة ، الشهادة وصفتها ، الإقرار وصفته ، وجود المال المسروق عند السارق ، تلقين السارق الإنكار ، مطالبة المسروق منه بماله ، عقوبة القطع ، العود للسرقة بعد القطع ، </w:t>
            </w:r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السرقة من غير حرز .</w:t>
            </w:r>
          </w:p>
          <w:p w:rsidR="00971B80" w:rsidRPr="00971B80" w:rsidRDefault="00971B80" w:rsidP="00971B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حد قطاع </w:t>
            </w:r>
            <w:proofErr w:type="gramStart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الطريق :</w:t>
            </w:r>
            <w:proofErr w:type="gramEnd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05645C" w:rsidRPr="0005645C" w:rsidRDefault="00971B80" w:rsidP="00971B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بقطاع </w:t>
            </w:r>
            <w:proofErr w:type="gramStart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الطريق ،</w:t>
            </w:r>
            <w:proofErr w:type="gramEnd"/>
            <w:r w:rsidRPr="00971B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شروط وجوب حد الحرابة ، عقوبة قطع الطريق ، تحديد نوع العقوبة للمحارب ، عقوبة القتل والصلب ، استيفاء القَوَد فيما دون النفس من المحاربين ، عقوبة القطع لأيدي والأرجل من خلاف ، عقوبة النفي من الأرض ، أثر التوبة في حد الحرابة ، مشروعية دفع الصائل ، مراتب الدفع ، الضمان في قتل الصائل ، القتال دفاعا عن النفس في الفتنة ، دفع المتلصص ، وخذف من نظر في بيت غيره .</w:t>
            </w:r>
          </w:p>
        </w:tc>
        <w:tc>
          <w:tcPr>
            <w:tcW w:w="1119" w:type="dxa"/>
          </w:tcPr>
          <w:p w:rsidR="0005645C" w:rsidRDefault="00971B80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1087" w:type="dxa"/>
          </w:tcPr>
          <w:p w:rsidR="0005645C" w:rsidRPr="00E8014E" w:rsidRDefault="0005645C" w:rsidP="005D0730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05645C" w:rsidRPr="00E8014E" w:rsidRDefault="0005645C" w:rsidP="005D0730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CF7BB4" w:rsidRPr="00E8014E" w:rsidTr="00CF7BB4">
        <w:trPr>
          <w:trHeight w:val="1052"/>
        </w:trPr>
        <w:tc>
          <w:tcPr>
            <w:tcW w:w="4308" w:type="dxa"/>
            <w:vAlign w:val="center"/>
          </w:tcPr>
          <w:p w:rsidR="00CF7BB4" w:rsidRPr="00CF7BB4" w:rsidRDefault="00CF7BB4" w:rsidP="00CF7BB4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قتال أهل </w:t>
            </w:r>
            <w:proofErr w:type="gramStart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البغي :</w:t>
            </w:r>
            <w:proofErr w:type="gramEnd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CF7BB4" w:rsidRPr="00CF7BB4" w:rsidRDefault="00CF7BB4" w:rsidP="00CF7BB4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بأهل </w:t>
            </w:r>
            <w:proofErr w:type="gramStart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البغي ،</w:t>
            </w:r>
            <w:proofErr w:type="gramEnd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البغي ، حكم نصب الإمام ، طرق انعقاد الإمامة ، التعامل الشرعي مع البغاة ، معونة الرعية للإمام في قتال البغاة ، ما يجب بقتل من يحرم قتله من البغاة ، معاملة أسرى البغاة ، ما يتلف من الأموال حال البغي ، القتال بين طائفتين من المؤمنين ، ضمان ما تتلفه كل طائفة على الأخرى .</w:t>
            </w:r>
          </w:p>
          <w:p w:rsidR="00CF7BB4" w:rsidRPr="00CF7BB4" w:rsidRDefault="00CF7BB4" w:rsidP="00CF7BB4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</w:t>
            </w:r>
            <w:proofErr w:type="gramStart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 :</w:t>
            </w:r>
            <w:proofErr w:type="gramEnd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CF7BB4" w:rsidRPr="00CF7BB4" w:rsidRDefault="00CF7BB4" w:rsidP="00CF7BB4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المرتد ،</w:t>
            </w:r>
            <w:proofErr w:type="gramEnd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تكون به الردة : الاعتقاد ، القول ، الفعل ، الجحد ، الشك ، شروط من تعتبر منه الردة : البلوغ ، العقل ، الاختيار ، الإرادة ، العلم بالحال والحكم ، استتابة المرتد ، عقوبة المرتد ، من يتولى عقوبة المرتد ، ما لا تشرع فيها </w:t>
            </w:r>
            <w:proofErr w:type="spellStart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الاستتابة</w:t>
            </w:r>
            <w:proofErr w:type="spellEnd"/>
            <w:r w:rsidRPr="00CF7B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من صور الردة ، توبة المرتد ، مال المرتد ، حكم الساحر ، حل السحر .</w:t>
            </w:r>
          </w:p>
          <w:p w:rsidR="00CF7BB4" w:rsidRPr="008964A0" w:rsidRDefault="00CF7BB4" w:rsidP="00CF7BB4">
            <w:pPr>
              <w:bidi/>
              <w:spacing w:line="400" w:lineRule="exact"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  <w:tc>
          <w:tcPr>
            <w:tcW w:w="1119" w:type="dxa"/>
          </w:tcPr>
          <w:p w:rsidR="00CF7BB4" w:rsidRDefault="00341200" w:rsidP="00CF7BB4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1087" w:type="dxa"/>
          </w:tcPr>
          <w:p w:rsidR="00CF7BB4" w:rsidRPr="00E8014E" w:rsidRDefault="00CF7BB4" w:rsidP="00CF7BB4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CF7BB4" w:rsidRPr="00E8014E" w:rsidRDefault="00CF7BB4" w:rsidP="00CF7BB4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3665E0" w:rsidRPr="00E8014E" w:rsidTr="00CF7BB4">
        <w:trPr>
          <w:trHeight w:val="1052"/>
        </w:trPr>
        <w:tc>
          <w:tcPr>
            <w:tcW w:w="4308" w:type="dxa"/>
            <w:vAlign w:val="center"/>
          </w:tcPr>
          <w:p w:rsidR="003665E0" w:rsidRPr="003665E0" w:rsidRDefault="003665E0" w:rsidP="003665E0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الأطعمة :</w:t>
            </w:r>
            <w:proofErr w:type="gram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3665E0" w:rsidRPr="003665E0" w:rsidRDefault="003665E0" w:rsidP="003665E0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الأصل في الأطعمة ، حل الأطعمة من الجمادات ، ما يستثنى من ذلك : النجس و </w:t>
            </w:r>
            <w:proofErr w:type="spell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المتنجس</w:t>
            </w:r>
            <w:proofErr w:type="spell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ما فيه مضرة الأطعمة من الحيوانات ، حل حيوانات البحر ، الأصل في حيوانات البر ، </w:t>
            </w:r>
            <w:proofErr w:type="spell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مايستثنى</w:t>
            </w:r>
            <w:proofErr w:type="spell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من ذلك : الحمر الأهلية ، ما له ناب من السباع ، ما له مخلب من الطير يصيد  به ، ما يأكل الجيف ، ما يستخبث من الحيوانات ، ما تولد بين مأكول وغيره ، ما أمر الشارع بقتله أو نهى عن </w:t>
            </w:r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قتله من الحيوانات ، أمثلة لما يؤكل لحمه من حيوان البحر والبر ، أكل لحم الجلالة ، الاضطرار إلى المحرم ، قدر ما يتناول منه ، التزود منه ، الاضطرار مال إلى الغير ، الأكل من ثمر بستان الغير إذا مر عليه ، أحكام الضيافة .</w:t>
            </w:r>
          </w:p>
          <w:p w:rsidR="003665E0" w:rsidRPr="003665E0" w:rsidRDefault="003665E0" w:rsidP="003665E0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الذكاة :</w:t>
            </w:r>
            <w:proofErr w:type="gram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3665E0" w:rsidRPr="003665E0" w:rsidRDefault="003665E0" w:rsidP="003665E0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 ،</w:t>
            </w:r>
            <w:proofErr w:type="gram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الأصل في وجوبها ، الحكمة من مشروعيتها ، ما يحل أكله بغير ذكاة ، شروط الذكاة : أهلية المذكي ، آلة الذكاة ، قطع الحلقوم </w:t>
            </w:r>
            <w:proofErr w:type="spell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والمرئ</w:t>
            </w:r>
            <w:proofErr w:type="spell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نحر الإبل ، وذبح غيرها ، ذكاة ما عجز عنه ، اجتماع مبيح وحاظر في الذكاة ، الذبح من القفا ، تذكية النطيحة ونحوها مما أشرف على الهلاك ،  ما لا تحله الذكاة مما حياته كالعدم ،  التسمية عند الذبح ، آداب الذكاة ، ذكاة الجنين .</w:t>
            </w:r>
          </w:p>
          <w:p w:rsidR="003665E0" w:rsidRPr="003665E0" w:rsidRDefault="003665E0" w:rsidP="003665E0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باب </w:t>
            </w:r>
            <w:proofErr w:type="gram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الصيد :</w:t>
            </w:r>
            <w:proofErr w:type="gram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3665E0" w:rsidRPr="00CF7BB4" w:rsidRDefault="003665E0" w:rsidP="003665E0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الصيد ،</w:t>
            </w:r>
            <w:proofErr w:type="gramEnd"/>
            <w:r w:rsidRPr="003665E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، ما يشترط لحله : أهلية الصائد ، آلة الصيد ، ما يشترط في المحدد ، إدراك الصيد وبه حياة ، سقوط الصيد المرمي في الهواء وموته بعد ذلك ، ما يشترط في الجارحة ، اقتناء الكلب ، اشتراط القصد عند إرسال الآلة ، اشتراط التسمية عند إرسال السهم أو الجارحة ، أفضل المكاسب</w:t>
            </w:r>
          </w:p>
        </w:tc>
        <w:tc>
          <w:tcPr>
            <w:tcW w:w="1119" w:type="dxa"/>
          </w:tcPr>
          <w:p w:rsidR="003665E0" w:rsidRDefault="003665E0" w:rsidP="00CF7BB4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1087" w:type="dxa"/>
          </w:tcPr>
          <w:p w:rsidR="003665E0" w:rsidRPr="00E8014E" w:rsidRDefault="003665E0" w:rsidP="00CF7BB4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3665E0" w:rsidRPr="00E8014E" w:rsidRDefault="003665E0" w:rsidP="00CF7BB4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A24252" w:rsidRPr="00E8014E" w:rsidTr="00CF7BB4">
        <w:trPr>
          <w:trHeight w:val="1052"/>
        </w:trPr>
        <w:tc>
          <w:tcPr>
            <w:tcW w:w="4308" w:type="dxa"/>
            <w:vAlign w:val="center"/>
          </w:tcPr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الأيمان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اليمين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اليمين التي تجب الكفارة بالحنث بها ، ما تنعقد به اليمين ، الحلف بغير الله ، الحلف بالطلاق ، شروط وجوب الكفارة بالحلف بالله تعالى : أن تكون اليمين منعقدة ، أن يحلف مختارا ، الحنث في اليمين ، تعليق اليمين بالمشيئة ، حكم الحنث في اليمين ، إبرار المُقْسِم وإجابته ، تحريم الحلال سوى الزوجة ، الحلف على ملة غير الإسلام ونحو ذلك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كفارة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اليمين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خصال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الكفارة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التخيير في الكفارة ، الترتيب في الكفارة ، القدر المجزئ في الإطعام ، القدر المجزئ في الكسوة ، التلفيق بين خصال الكفارة ، التتابع في صوم الكفارة ، وقت إخراج الكفارة ، تداخل الكفارات وتعددها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جامع الأيمان المحلوف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البناء على نية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الحالف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أدلة ذلك ، صور البناء في اليمين على النية : أن ينوي بالعام الخاص أو العكس ، أن تكون نيته موافقة لظاهر لفظه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البناء على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السبب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صورته ، اختلاف السبب والنية . 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البناء على تعيين المحلوف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أمثلته ، وجه تقديمه على الاسم والصفة والإضافة ،.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البناء في اليمين على دلالة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الاسم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أنواع دلالة الاسم ، وأمثلة كل نوع ، الحكم عند اتفاق الدلالات ، المقدم من الدلالات عند اختلافها ، موانع الحنث في اليمين ، الإكراه ، النسيان ، الجهل ، فعل بعض ما حلف على كله . 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النذر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النذر ،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إنشائه ، حكم الوفاء به ، ما يشترط لصحة النذر من جهة الناذر 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أقسام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النذر  :</w:t>
            </w:r>
            <w:proofErr w:type="gramEnd"/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النذر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المطلق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مثاله ، ما يجب به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نذر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اللجاج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 ، أمثلته ، ما يجب به.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نذر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المكروه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أمثلته ، حكمه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نذر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المعصية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القضاء على من نذر صوما محرما ونحوه .</w:t>
            </w:r>
          </w:p>
          <w:p w:rsidR="00A24252" w:rsidRPr="00A24252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نذر </w:t>
            </w:r>
            <w:proofErr w:type="gramStart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التبرر :</w:t>
            </w:r>
            <w:proofErr w:type="gramEnd"/>
            <w:r w:rsidRPr="00A242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، أنواعه ، حكمه ، نذر الصدقة بالمال كله أو معظمه ، التتابع في نذر الصيام ، نذر صيام الدهر ، موافقة صوم النذر ليوم يحرم صومه ، أقل ما يتحقق به النذر المطلق للصلاة والصيام .</w:t>
            </w:r>
          </w:p>
        </w:tc>
        <w:tc>
          <w:tcPr>
            <w:tcW w:w="1119" w:type="dxa"/>
          </w:tcPr>
          <w:p w:rsidR="00A24252" w:rsidRDefault="00A24252" w:rsidP="00A24252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087" w:type="dxa"/>
          </w:tcPr>
          <w:p w:rsidR="00A24252" w:rsidRPr="00E8014E" w:rsidRDefault="00A24252" w:rsidP="00A24252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A24252" w:rsidRPr="00E8014E" w:rsidRDefault="00A24252" w:rsidP="00A24252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A24252" w:rsidRPr="00E8014E" w:rsidTr="009C68E2">
        <w:tc>
          <w:tcPr>
            <w:tcW w:w="4308" w:type="dxa"/>
          </w:tcPr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القضاء، وولايته وشروط </w:t>
            </w:r>
            <w:proofErr w:type="gramStart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القاضي :</w:t>
            </w:r>
            <w:proofErr w:type="gramEnd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-القضاء: تعريفه، والفرق بينه وبين الإفتاء والحسبة، وأنواع القضاء، والفروق بينهما.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-أهمية القضاء، وحكمه وحكم توليه، وحكم طلبه.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-مسؤولية الإمام في تولية القضاة واختيارهم.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-ولاية القضاء، وألفاظ </w:t>
            </w:r>
            <w:proofErr w:type="gramStart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التولية ،</w:t>
            </w:r>
            <w:proofErr w:type="gramEnd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وأنواع ولاية القضاء، واختصاص القاضي، ورزقه، وعزله.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القاضي، وكيفية اختيار القاضي عند انعدام هذه الشروط أو بعضها.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-إلزام القاضي بالحكم بمذهب معين، أو برأي معين.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-التحكيم: معناه، </w:t>
            </w:r>
            <w:proofErr w:type="gramStart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ومحله ،</w:t>
            </w:r>
            <w:proofErr w:type="gramEnd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. </w:t>
            </w:r>
          </w:p>
          <w:p w:rsidR="00A24252" w:rsidRPr="00C72BD5" w:rsidRDefault="00A24252" w:rsidP="00A2425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-استقلال القضاء: معناه، الأمور التي تساعد على تحقيقه.</w:t>
            </w:r>
          </w:p>
          <w:p w:rsidR="00A24252" w:rsidRPr="00A24252" w:rsidRDefault="00A24252" w:rsidP="00A24252">
            <w:pPr>
              <w:pStyle w:val="ad"/>
              <w:numPr>
                <w:ilvl w:val="0"/>
                <w:numId w:val="14"/>
              </w:numPr>
              <w:bidi/>
              <w:spacing w:line="400" w:lineRule="exact"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-تصنيف درجات التقاضي، والمقارنة بينها..</w:t>
            </w:r>
          </w:p>
        </w:tc>
        <w:tc>
          <w:tcPr>
            <w:tcW w:w="1119" w:type="dxa"/>
          </w:tcPr>
          <w:p w:rsidR="00A24252" w:rsidRPr="00E8014E" w:rsidRDefault="00A24252" w:rsidP="00A2425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A24252" w:rsidRDefault="00A24252" w:rsidP="00A2425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A24252" w:rsidRPr="00E8014E" w:rsidRDefault="00A24252" w:rsidP="00A24252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A24252" w:rsidRDefault="00A24252" w:rsidP="00A2425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A24252" w:rsidRPr="00E8014E" w:rsidRDefault="00A24252" w:rsidP="00A2425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</w:tc>
      </w:tr>
      <w:tr w:rsidR="00A24252" w:rsidRPr="00E8014E" w:rsidTr="009C68E2">
        <w:tc>
          <w:tcPr>
            <w:tcW w:w="4308" w:type="dxa"/>
          </w:tcPr>
          <w:p w:rsidR="00A24252" w:rsidRPr="008B7104" w:rsidRDefault="00A24252" w:rsidP="00A2425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آداب </w:t>
            </w:r>
            <w:proofErr w:type="gramStart"/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القاضي :</w:t>
            </w:r>
            <w:proofErr w:type="gramEnd"/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A24252" w:rsidRPr="008B7104" w:rsidRDefault="00A24252" w:rsidP="00A2425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-آداب القاضي العامة، وآدابه في مجلس القضاء.</w:t>
            </w:r>
          </w:p>
          <w:p w:rsidR="00A24252" w:rsidRPr="008B7104" w:rsidRDefault="00A24252" w:rsidP="00A2425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-الأحوال التي يحرم القضاء فيها، وعلة التحريم فيها.</w:t>
            </w:r>
          </w:p>
          <w:p w:rsidR="00A24252" w:rsidRPr="008B7104" w:rsidRDefault="00A24252" w:rsidP="00A2425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أخذ القاضي للرشوة، والهدية، وحكم بيع القاضي وشرائه.</w:t>
            </w:r>
          </w:p>
          <w:p w:rsidR="00A24252" w:rsidRPr="00657B44" w:rsidRDefault="00A24252" w:rsidP="00A2425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ينبغي أن يفعله القاضي أول مباشرته للعمل</w:t>
            </w:r>
          </w:p>
        </w:tc>
        <w:tc>
          <w:tcPr>
            <w:tcW w:w="1119" w:type="dxa"/>
          </w:tcPr>
          <w:p w:rsidR="00A24252" w:rsidRPr="00E8014E" w:rsidRDefault="00A24252" w:rsidP="00A2425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</w:tcPr>
          <w:p w:rsidR="00A24252" w:rsidRPr="006A6F6C" w:rsidRDefault="00A24252" w:rsidP="00A24252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A24252" w:rsidRPr="006A6F6C" w:rsidRDefault="00A24252" w:rsidP="00A24252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24252" w:rsidRPr="00E8014E" w:rsidTr="009C68E2">
        <w:tc>
          <w:tcPr>
            <w:tcW w:w="4308" w:type="dxa"/>
          </w:tcPr>
          <w:p w:rsidR="00A24252" w:rsidRPr="00D23962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طريق الحكم وصفته: 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-معنى الحكم القضائي، والمراد بطريق الحكم وصفته.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-معرفة المدعي من الخصمين في الدعوى.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-حضور المرأة المدعى عليها مجلس الحكم.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سماع البينة، والحكم بموجبها.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-عمل القاضي عند إقرار المدعى 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 ،</w:t>
            </w:r>
            <w:proofErr w:type="gramEnd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إنكاره.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-قضاء القاضي بعلمه.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-مكان إقامة الدعوى، والقاضي المختص بها.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-النظر في الدعوى.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يعمله القاضي عند عدم وجود بينة للمدعي.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القاضي لنفسه، أو لمن لا تقبل شهادته له أو عليه.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-نقض الحكم القضائي، المراد 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 ،</w:t>
            </w:r>
            <w:proofErr w:type="gramEnd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، وطرق الاعتراض على الأحكام القضائية.</w:t>
            </w:r>
          </w:p>
          <w:p w:rsidR="00A24252" w:rsidRPr="00D23962" w:rsidRDefault="00A24252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-تقنين الأحكام: المراد به، وحكم الإلزام به.</w:t>
            </w:r>
          </w:p>
          <w:p w:rsidR="00A24252" w:rsidRDefault="00A24252" w:rsidP="00A242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-تنفيذ الأحكام: المراد به، وأحكامه وآدابه.</w:t>
            </w:r>
          </w:p>
          <w:p w:rsidR="00A24252" w:rsidRPr="00134897" w:rsidRDefault="00A24252" w:rsidP="00A24252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معناه، وحكمه، وشروط </w:t>
            </w:r>
            <w:proofErr w:type="spellStart"/>
            <w:proofErr w:type="gram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صحته.ومحله</w:t>
            </w:r>
            <w:proofErr w:type="spellEnd"/>
            <w:proofErr w:type="gramEnd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:rsidR="00A24252" w:rsidRPr="00E8014E" w:rsidRDefault="00237BBF" w:rsidP="00A2425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10</w:t>
            </w:r>
          </w:p>
        </w:tc>
        <w:tc>
          <w:tcPr>
            <w:tcW w:w="1087" w:type="dxa"/>
          </w:tcPr>
          <w:p w:rsidR="00A24252" w:rsidRPr="006A6F6C" w:rsidRDefault="00A24252" w:rsidP="00A24252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A24252" w:rsidRPr="006A6F6C" w:rsidRDefault="00A24252" w:rsidP="00A24252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24252" w:rsidRPr="00E8014E" w:rsidTr="00672123">
        <w:tc>
          <w:tcPr>
            <w:tcW w:w="4308" w:type="dxa"/>
          </w:tcPr>
          <w:p w:rsidR="00A24252" w:rsidRPr="00D23962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القسمة :</w:t>
            </w:r>
            <w:proofErr w:type="gramEnd"/>
          </w:p>
          <w:p w:rsidR="00A24252" w:rsidRPr="00D23962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القسمة :</w:t>
            </w:r>
            <w:proofErr w:type="gramEnd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بها، وحكمها، وأنواعها.</w:t>
            </w:r>
          </w:p>
          <w:p w:rsidR="00A24252" w:rsidRPr="00D23962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-ضابط ما يقسم قسمة تراض، وما يشترط لصحتها، وبعض الأمثلة عليها.</w:t>
            </w:r>
          </w:p>
          <w:p w:rsidR="00A24252" w:rsidRPr="00D23962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-ضابط قسمة الإجبار، وسبب تسميتها، وما يشترط للحكم بالإجبار فيها، وتوصيفها، وسرد الأمثلة عليها</w:t>
            </w:r>
          </w:p>
          <w:p w:rsidR="00A24252" w:rsidRPr="00D23962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يشترط في القاسم، وما يتقاضاه من أجرة.</w:t>
            </w:r>
          </w:p>
          <w:p w:rsidR="00A24252" w:rsidRPr="00DB2853" w:rsidRDefault="00A24252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-طريقة القسمة، وأحكامها، ونماذج 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تطبيقية .</w:t>
            </w:r>
            <w:proofErr w:type="gramEnd"/>
          </w:p>
          <w:p w:rsidR="00A24252" w:rsidRPr="00D23962" w:rsidRDefault="00A24252" w:rsidP="00A24252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</w:tcPr>
          <w:p w:rsidR="00A24252" w:rsidRPr="00E8014E" w:rsidRDefault="00A24252" w:rsidP="00A2425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A24252" w:rsidRPr="006A6F6C" w:rsidRDefault="00A24252" w:rsidP="00A24252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  <w:tcBorders>
              <w:top w:val="nil"/>
            </w:tcBorders>
          </w:tcPr>
          <w:p w:rsidR="00A24252" w:rsidRPr="006A6F6C" w:rsidRDefault="00A24252" w:rsidP="00A24252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72123" w:rsidRPr="00E8014E" w:rsidTr="009C68E2">
        <w:tc>
          <w:tcPr>
            <w:tcW w:w="4308" w:type="dxa"/>
            <w:vMerge w:val="restart"/>
          </w:tcPr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الدعاوى والبينات: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-الدعوى: المراد بها، وأركانها وشروط صحتها، وحكم إنشائها.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-من تصح منه الدعوى والإنكار.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الترافع عن طريق وسائل الاتصال الحديثة.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-أنواع الدعوى، وإجراءات نظر الدعوى، والآداب المطلوبة فيها.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-ترجمة الدعوى في مجلس القضاء.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الدعوى على الغائب عن مجلس الحكم، والحكم عليه.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-الدعاوى الكيدية: المراد بها، وصورها، وأحكامها.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-البينة: المراد بها، ومن تطلب </w:t>
            </w:r>
            <w:proofErr w:type="gramStart"/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منه ،</w:t>
            </w:r>
            <w:proofErr w:type="gramEnd"/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والأدلة على ذلك.</w:t>
            </w:r>
          </w:p>
          <w:p w:rsidR="00672123" w:rsidRPr="0060754A" w:rsidRDefault="00672123" w:rsidP="00A24252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-بينة الخارج وبينة الداخل، وسبب تسميتها بذلك، وتحديد المقدم منهما.</w:t>
            </w:r>
          </w:p>
          <w:p w:rsidR="00672123" w:rsidRPr="00E14468" w:rsidRDefault="00672123" w:rsidP="00A2425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-تعارض البينات</w:t>
            </w:r>
          </w:p>
          <w:p w:rsidR="00672123" w:rsidRPr="00BB4379" w:rsidRDefault="00672123" w:rsidP="00A2425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الشهادات :</w:t>
            </w:r>
            <w:proofErr w:type="gramEnd"/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-الشهادات: المراد </w:t>
            </w:r>
            <w:proofErr w:type="spellStart"/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بها،ومنزلتها</w:t>
            </w:r>
            <w:proofErr w:type="spellEnd"/>
            <w:proofErr w:type="gram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والحكمة من </w:t>
            </w:r>
            <w:proofErr w:type="spell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مشروعيتها،وأنواعها</w:t>
            </w:r>
            <w:proofErr w:type="spell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-تحمل الشهادة وأداؤها: المراد بهما، وحكم كل منهما مع الشروط.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-كتمان الشهادة، وأخذ الأجرة والجُعل عليها.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-الأدب مع الشهود.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-طرق العلم بالمشهود عليهم، وما يشترط لعد الاستفاضة طريقاً من </w:t>
            </w:r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ذلك ،</w:t>
            </w:r>
            <w:proofErr w:type="gram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وذكر ما تصح الشهادة </w:t>
            </w: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عليه بالاستفاضة، وما لا تصح.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صحة الشهادة بحسب اختلاف المشهود به.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من تقبل شهادتهم.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-شهادة الصبيان.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-تزكية الشهود.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-تحليف الشهود.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-حضور الشهود عند حكم القاضي.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-موانع قبول الشهادة، وعدد الشهود.</w:t>
            </w:r>
          </w:p>
          <w:p w:rsidR="00672123" w:rsidRPr="00BB4379" w:rsidRDefault="00672123" w:rsidP="00A2425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-الشهادة على الشهادة، </w:t>
            </w:r>
            <w:proofErr w:type="spell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ومايشترط</w:t>
            </w:r>
            <w:proofErr w:type="spell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للحكم بها.</w:t>
            </w:r>
          </w:p>
          <w:p w:rsidR="00672123" w:rsidRPr="007E180E" w:rsidRDefault="00672123" w:rsidP="00A24252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-رجوع شهود المال، وشهود القصاص </w:t>
            </w:r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والحدود ،</w:t>
            </w:r>
            <w:proofErr w:type="gram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والآثار الناشئة عن ذلك.</w:t>
            </w:r>
          </w:p>
          <w:p w:rsidR="00672123" w:rsidRPr="00E14468" w:rsidRDefault="00672123" w:rsidP="00A2425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</w:tcPr>
          <w:p w:rsidR="00672123" w:rsidRPr="00E8014E" w:rsidRDefault="00672123" w:rsidP="00A2425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15</w:t>
            </w:r>
          </w:p>
        </w:tc>
        <w:tc>
          <w:tcPr>
            <w:tcW w:w="1087" w:type="dxa"/>
          </w:tcPr>
          <w:p w:rsidR="00672123" w:rsidRPr="006A6F6C" w:rsidRDefault="00672123" w:rsidP="00A24252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72123" w:rsidRPr="006A6F6C" w:rsidRDefault="00672123" w:rsidP="00A24252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72123" w:rsidRPr="00E8014E" w:rsidTr="009C68E2">
        <w:tc>
          <w:tcPr>
            <w:tcW w:w="4308" w:type="dxa"/>
            <w:vMerge/>
          </w:tcPr>
          <w:p w:rsidR="00672123" w:rsidRPr="00BB4379" w:rsidRDefault="00672123" w:rsidP="00A2425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</w:tcPr>
          <w:p w:rsidR="00672123" w:rsidRPr="00E8014E" w:rsidRDefault="00672123" w:rsidP="006721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087" w:type="dxa"/>
          </w:tcPr>
          <w:p w:rsidR="00672123" w:rsidRPr="006A6F6C" w:rsidRDefault="00672123" w:rsidP="00A24252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72123" w:rsidRPr="006A6F6C" w:rsidRDefault="00672123" w:rsidP="00A24252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24252" w:rsidRPr="00E8014E" w:rsidTr="009C68E2">
        <w:tc>
          <w:tcPr>
            <w:tcW w:w="4308" w:type="dxa"/>
          </w:tcPr>
          <w:p w:rsidR="00A24252" w:rsidRPr="00672123" w:rsidRDefault="00672123" w:rsidP="00A24252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color w:val="244061" w:themeColor="accent1" w:themeShade="80"/>
                <w:sz w:val="36"/>
                <w:szCs w:val="36"/>
                <w:rtl/>
              </w:rPr>
            </w:pPr>
            <w:r w:rsidRPr="00672123">
              <w:rPr>
                <w:rFonts w:ascii="Traditional Arabic" w:hAnsi="Traditional Arabic" w:cs="Traditional Arabic" w:hint="cs"/>
                <w:color w:val="244061" w:themeColor="accent1" w:themeShade="80"/>
                <w:sz w:val="36"/>
                <w:szCs w:val="36"/>
                <w:rtl/>
              </w:rPr>
              <w:t>الإقرار</w:t>
            </w:r>
          </w:p>
          <w:p w:rsidR="00A24252" w:rsidRPr="00134897" w:rsidRDefault="00A24252" w:rsidP="00A2425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</w:tcPr>
          <w:p w:rsidR="00A24252" w:rsidRPr="00E8014E" w:rsidRDefault="00A24252" w:rsidP="00A2425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087" w:type="dxa"/>
          </w:tcPr>
          <w:p w:rsidR="00A24252" w:rsidRPr="006A6F6C" w:rsidRDefault="00A24252" w:rsidP="00A24252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A24252" w:rsidRPr="006A6F6C" w:rsidRDefault="00A24252" w:rsidP="00A24252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2F536D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850"/>
        <w:gridCol w:w="2863"/>
        <w:gridCol w:w="2832"/>
      </w:tblGrid>
      <w:tr w:rsidR="00B82FD8" w:rsidRPr="00E8014E" w:rsidTr="004518A5"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4518A5">
        <w:tc>
          <w:tcPr>
            <w:tcW w:w="815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45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C200A9" w:rsidRPr="00E8014E" w:rsidTr="00906BCD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التعرف على الحدود الشرعية وأحكامها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 xml:space="preserve">وحكمها </w:t>
            </w:r>
            <w:r w:rsidRPr="00C200A9">
              <w:rPr>
                <w:rFonts w:ascii="Sakkal Majalla" w:hAnsi="Sakkal Majalla" w:cs="Sakkal Majalla"/>
                <w:rtl/>
              </w:rPr>
              <w:lastRenderedPageBreak/>
              <w:t>.</w:t>
            </w:r>
            <w:proofErr w:type="gramEnd"/>
          </w:p>
        </w:tc>
        <w:tc>
          <w:tcPr>
            <w:tcW w:w="2863" w:type="dxa"/>
            <w:vMerge w:val="restart"/>
            <w:vAlign w:val="center"/>
          </w:tcPr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C200A9" w:rsidRPr="00E8014E" w:rsidRDefault="00C200A9" w:rsidP="00F54610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خطورة الجرائم المعاقب عليها بالحدود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ويحذرها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تحريم المسكرات والمخدرات ويحذر الوقوع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فيها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التعزير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وأحكامه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أهمية لزوم الجماعة ويحذر من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مفارقتها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تصنيف أسباب الردة ويحذر الوقوع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فيها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ما يحل وما لا يحل من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الأطعمة .</w:t>
            </w:r>
            <w:proofErr w:type="gramEnd"/>
          </w:p>
        </w:tc>
        <w:tc>
          <w:tcPr>
            <w:tcW w:w="2863" w:type="dxa"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405005" w:rsidRDefault="00C200A9" w:rsidP="0040500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أحكام الذكاة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والصيد .</w:t>
            </w:r>
            <w:proofErr w:type="gramEnd"/>
          </w:p>
        </w:tc>
        <w:tc>
          <w:tcPr>
            <w:tcW w:w="2863" w:type="dxa"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074D80" w:rsidRDefault="00C200A9" w:rsidP="004050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أحكام الأيمان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والنذور .</w:t>
            </w:r>
            <w:proofErr w:type="gramEnd"/>
          </w:p>
        </w:tc>
        <w:tc>
          <w:tcPr>
            <w:tcW w:w="2863" w:type="dxa"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6C55DF" w:rsidRDefault="00C200A9" w:rsidP="0040500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أن يكون قادراً على إدراك على أحكام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القضاء .</w:t>
            </w:r>
            <w:proofErr w:type="gramEnd"/>
          </w:p>
        </w:tc>
        <w:tc>
          <w:tcPr>
            <w:tcW w:w="2863" w:type="dxa"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405005" w:rsidRDefault="00C200A9" w:rsidP="004050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1,12</w:t>
            </w:r>
          </w:p>
        </w:tc>
        <w:tc>
          <w:tcPr>
            <w:tcW w:w="2850" w:type="dxa"/>
          </w:tcPr>
          <w:p w:rsidR="00C200A9" w:rsidRPr="00C200A9" w:rsidRDefault="00C200A9" w:rsidP="00C200A9">
            <w:pPr>
              <w:numPr>
                <w:ilvl w:val="0"/>
                <w:numId w:val="25"/>
              </w:numPr>
              <w:tabs>
                <w:tab w:val="left" w:pos="554"/>
              </w:tabs>
              <w:bidi/>
              <w:spacing w:line="520" w:lineRule="exact"/>
              <w:jc w:val="lowKashida"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  <w:rtl/>
              </w:rPr>
              <w:t xml:space="preserve"> أن يكون قادراً على التعرف على أحكام الدعاوى وطرق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الإثبات .</w:t>
            </w:r>
            <w:proofErr w:type="gramEnd"/>
          </w:p>
        </w:tc>
        <w:tc>
          <w:tcPr>
            <w:tcW w:w="2863" w:type="dxa"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405005" w:rsidRDefault="00C200A9" w:rsidP="004050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906BCD">
        <w:tc>
          <w:tcPr>
            <w:tcW w:w="815" w:type="dxa"/>
          </w:tcPr>
          <w:p w:rsidR="00C200A9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1,13</w:t>
            </w:r>
          </w:p>
        </w:tc>
        <w:tc>
          <w:tcPr>
            <w:tcW w:w="2850" w:type="dxa"/>
          </w:tcPr>
          <w:p w:rsidR="00C200A9" w:rsidRPr="00C200A9" w:rsidRDefault="00C200A9" w:rsidP="00E1434E">
            <w:pPr>
              <w:bidi/>
              <w:rPr>
                <w:rFonts w:ascii="Sakkal Majalla" w:hAnsi="Sakkal Majalla" w:cs="Sakkal Majalla"/>
              </w:rPr>
            </w:pPr>
            <w:r w:rsidRPr="00C200A9">
              <w:rPr>
                <w:rFonts w:ascii="Sakkal Majalla" w:hAnsi="Sakkal Majalla" w:cs="Sakkal Majalla"/>
              </w:rPr>
              <w:sym w:font="Wingdings 2" w:char="F097"/>
            </w:r>
            <w:r w:rsidRPr="00C200A9">
              <w:rPr>
                <w:rFonts w:ascii="Sakkal Majalla" w:hAnsi="Sakkal Majalla" w:cs="Sakkal Majalla"/>
                <w:rtl/>
              </w:rPr>
              <w:t xml:space="preserve">   يستعرض مواضع الخلاف بين الأئمة في أهم المسائل التي تمر به وأدلة كل قول وترجيح ما يراه </w:t>
            </w:r>
            <w:proofErr w:type="gramStart"/>
            <w:r w:rsidRPr="00C200A9">
              <w:rPr>
                <w:rFonts w:ascii="Sakkal Majalla" w:hAnsi="Sakkal Majalla" w:cs="Sakkal Majalla"/>
                <w:rtl/>
              </w:rPr>
              <w:t>صوابا .</w:t>
            </w:r>
            <w:proofErr w:type="gramEnd"/>
          </w:p>
        </w:tc>
        <w:tc>
          <w:tcPr>
            <w:tcW w:w="2863" w:type="dxa"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405005" w:rsidRDefault="00C200A9" w:rsidP="004050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bookmarkStart w:id="0" w:name="LastPosition"/>
            <w:bookmarkEnd w:id="0"/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45" w:type="dxa"/>
            <w:gridSpan w:val="3"/>
          </w:tcPr>
          <w:p w:rsidR="00C200A9" w:rsidRPr="00857BFF" w:rsidRDefault="00C200A9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2.1</w:t>
            </w:r>
          </w:p>
        </w:tc>
        <w:tc>
          <w:tcPr>
            <w:tcW w:w="2850" w:type="dxa"/>
          </w:tcPr>
          <w:p w:rsidR="00C200A9" w:rsidRPr="00E8014E" w:rsidRDefault="00C200A9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63" w:type="dxa"/>
            <w:vMerge w:val="restart"/>
            <w:vAlign w:val="center"/>
          </w:tcPr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C200A9" w:rsidRPr="00E8014E" w:rsidRDefault="00C200A9" w:rsidP="00F546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C200A9" w:rsidRPr="00E8014E" w:rsidRDefault="00C200A9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50" w:type="dxa"/>
          </w:tcPr>
          <w:p w:rsidR="00C200A9" w:rsidRPr="00E8014E" w:rsidRDefault="00C200A9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50" w:type="dxa"/>
          </w:tcPr>
          <w:p w:rsidR="00C200A9" w:rsidRPr="00E8014E" w:rsidRDefault="00C200A9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9A29C9" w:rsidRDefault="00C200A9" w:rsidP="00745041">
            <w:pPr>
              <w:jc w:val="center"/>
              <w:rPr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50" w:type="dxa"/>
          </w:tcPr>
          <w:p w:rsidR="00C200A9" w:rsidRPr="00E8014E" w:rsidRDefault="00C200A9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50" w:type="dxa"/>
          </w:tcPr>
          <w:p w:rsidR="00C200A9" w:rsidRPr="00E8014E" w:rsidRDefault="00C200A9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50" w:type="dxa"/>
            <w:vAlign w:val="center"/>
          </w:tcPr>
          <w:p w:rsidR="00C200A9" w:rsidRPr="00134897" w:rsidRDefault="00C200A9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50" w:type="dxa"/>
            <w:vAlign w:val="center"/>
          </w:tcPr>
          <w:p w:rsidR="00C200A9" w:rsidRPr="00134897" w:rsidRDefault="00C200A9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50" w:type="dxa"/>
            <w:vAlign w:val="center"/>
          </w:tcPr>
          <w:p w:rsidR="00C200A9" w:rsidRPr="00134897" w:rsidRDefault="00C200A9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63" w:type="dxa"/>
            <w:vMerge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50" w:type="dxa"/>
            <w:vAlign w:val="center"/>
          </w:tcPr>
          <w:p w:rsidR="00C200A9" w:rsidRPr="00134897" w:rsidRDefault="00C200A9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63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Pr="00E14468" w:rsidRDefault="00C200A9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45" w:type="dxa"/>
            <w:gridSpan w:val="3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63" w:type="dxa"/>
            <w:vMerge w:val="restart"/>
          </w:tcPr>
          <w:p w:rsidR="00C200A9" w:rsidRPr="00691B91" w:rsidRDefault="00C200A9" w:rsidP="00F54610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المناقشة والحوار الفقهي .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C200A9" w:rsidRPr="00E8014E" w:rsidRDefault="00C200A9" w:rsidP="00F5461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3.2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45" w:type="dxa"/>
            <w:gridSpan w:val="3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50" w:type="dxa"/>
            <w:vAlign w:val="center"/>
          </w:tcPr>
          <w:p w:rsidR="00C200A9" w:rsidRPr="00134897" w:rsidRDefault="00C200A9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63" w:type="dxa"/>
            <w:vMerge w:val="restart"/>
            <w:vAlign w:val="center"/>
          </w:tcPr>
          <w:p w:rsidR="00C200A9" w:rsidRPr="00691B91" w:rsidRDefault="00C200A9" w:rsidP="00F5461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C200A9" w:rsidRPr="00691B91" w:rsidRDefault="00C200A9" w:rsidP="00F5461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C200A9" w:rsidRPr="00691B91" w:rsidRDefault="00C200A9" w:rsidP="00F5461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C200A9" w:rsidRPr="00E8014E" w:rsidRDefault="00C200A9" w:rsidP="00F5461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63" w:type="dxa"/>
            <w:vMerge/>
          </w:tcPr>
          <w:p w:rsidR="00C200A9" w:rsidRPr="00E8014E" w:rsidRDefault="00C200A9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2" w:type="dxa"/>
          </w:tcPr>
          <w:p w:rsidR="00C200A9" w:rsidRDefault="00C200A9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</w:tcPr>
          <w:p w:rsidR="00C200A9" w:rsidRPr="00857BFF" w:rsidRDefault="00C200A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63" w:type="dxa"/>
            <w:vMerge/>
          </w:tcPr>
          <w:p w:rsidR="00C200A9" w:rsidRPr="00E8014E" w:rsidRDefault="00C200A9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63" w:type="dxa"/>
            <w:vMerge/>
          </w:tcPr>
          <w:p w:rsidR="00C200A9" w:rsidRPr="00E8014E" w:rsidRDefault="00C200A9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50" w:type="dxa"/>
            <w:vAlign w:val="center"/>
          </w:tcPr>
          <w:p w:rsidR="00C200A9" w:rsidRPr="00134897" w:rsidRDefault="00C200A9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spell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63" w:type="dxa"/>
            <w:vMerge/>
          </w:tcPr>
          <w:p w:rsidR="00C200A9" w:rsidRPr="00E8014E" w:rsidRDefault="00C200A9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200A9" w:rsidRPr="00E8014E" w:rsidTr="004518A5">
        <w:tc>
          <w:tcPr>
            <w:tcW w:w="815" w:type="dxa"/>
            <w:vAlign w:val="center"/>
          </w:tcPr>
          <w:p w:rsidR="00C200A9" w:rsidRPr="003B42CB" w:rsidRDefault="00C200A9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50" w:type="dxa"/>
          </w:tcPr>
          <w:p w:rsidR="00C200A9" w:rsidRPr="00134897" w:rsidRDefault="00C200A9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63" w:type="dxa"/>
            <w:vMerge/>
          </w:tcPr>
          <w:p w:rsidR="00C200A9" w:rsidRPr="00E8014E" w:rsidRDefault="00C200A9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2" w:type="dxa"/>
          </w:tcPr>
          <w:p w:rsidR="00C200A9" w:rsidRDefault="00C200A9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4518A5" w:rsidRPr="00E8014E" w:rsidRDefault="004518A5" w:rsidP="004518A5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ملاحظة:</w:t>
      </w:r>
      <w:r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المناشط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C5596" w:rsidRDefault="004C5596" w:rsidP="004C559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</w:p>
    <w:p w:rsidR="00B82FD8" w:rsidRPr="004C5596" w:rsidRDefault="004C5596" w:rsidP="004C559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4C559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مصفوفة الاختبار </w:t>
      </w:r>
    </w:p>
    <w:p w:rsidR="004C5596" w:rsidRPr="00E8014E" w:rsidRDefault="004C5596" w:rsidP="004C5596">
      <w:pPr>
        <w:jc w:val="right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الجانب الإدراكي 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نصيب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>الجانب المعرفي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التقريبية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الوزن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النسبي للموضوع 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الحدود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حد الزنا 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حد القذف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حد السكر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التعزير 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حد السرقة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قطاع الطرق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أهل البغي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حد المرتد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الأطعمة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الذكاة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الصيد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الأيمان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النذر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القضاء</w:t>
            </w:r>
          </w:p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ما تصح به الدعوى والبينة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كتاب القاضي إلى </w:t>
            </w:r>
          </w:p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القاضي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القسمة </w:t>
            </w: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الدعاوى والبينات والشهادات واليمين والإقرار</w:t>
            </w:r>
          </w:p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4C5596" w:rsidRPr="00B66391" w:rsidTr="004C5596"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4C5596" w:rsidRPr="00B66391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75</w:t>
            </w:r>
          </w:p>
        </w:tc>
        <w:tc>
          <w:tcPr>
            <w:tcW w:w="4779" w:type="dxa"/>
            <w:shd w:val="clear" w:color="auto" w:fill="auto"/>
          </w:tcPr>
          <w:p w:rsidR="004C5596" w:rsidRDefault="004C5596" w:rsidP="00672123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4C5596" w:rsidRDefault="004C5596" w:rsidP="00672123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المجموع </w:t>
            </w: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B82FD8" w:rsidRPr="00E8014E" w:rsidRDefault="00B76957" w:rsidP="004518A5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518A5" w:rsidRDefault="004518A5" w:rsidP="004518A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1B75A1" w:rsidRPr="00B66124" w:rsidRDefault="001B75A1" w:rsidP="001B75A1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1B75A1" w:rsidRDefault="001B75A1" w:rsidP="001B75A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1B75A1" w:rsidRPr="001A6CDD" w:rsidRDefault="001B75A1" w:rsidP="001B75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1B75A1" w:rsidRPr="00B66124" w:rsidRDefault="001B75A1" w:rsidP="001B75A1">
      <w:pPr>
        <w:pStyle w:val="ad"/>
        <w:numPr>
          <w:ilvl w:val="0"/>
          <w:numId w:val="26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1B75A1" w:rsidRPr="00B66124" w:rsidRDefault="001B75A1" w:rsidP="001B75A1">
      <w:pPr>
        <w:pStyle w:val="ad"/>
        <w:numPr>
          <w:ilvl w:val="0"/>
          <w:numId w:val="26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1B75A1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1B75A1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A1" w:rsidRPr="00B66124" w:rsidRDefault="001B75A1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A1" w:rsidRPr="00B66124" w:rsidRDefault="001B75A1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1B75A1" w:rsidRPr="00B66124" w:rsidRDefault="001B75A1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1B75A1" w:rsidRPr="00B66124" w:rsidRDefault="001B75A1" w:rsidP="001B75A1">
      <w:pPr>
        <w:rPr>
          <w:sz w:val="28"/>
          <w:szCs w:val="28"/>
          <w:rtl/>
        </w:rPr>
      </w:pPr>
    </w:p>
    <w:p w:rsidR="001B75A1" w:rsidRPr="00B66124" w:rsidRDefault="001B75A1" w:rsidP="001B75A1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1B75A1" w:rsidRPr="00B66124" w:rsidRDefault="001B75A1" w:rsidP="001B75A1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1B75A1" w:rsidRPr="00B66124" w:rsidRDefault="001B75A1" w:rsidP="001B75A1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1B75A1" w:rsidRPr="00B66124" w:rsidRDefault="001B75A1" w:rsidP="001B75A1">
      <w:pPr>
        <w:rPr>
          <w:sz w:val="32"/>
          <w:szCs w:val="32"/>
        </w:rPr>
      </w:pPr>
    </w:p>
    <w:p w:rsidR="00BB4D07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B75A1" w:rsidRPr="001B75A1" w:rsidRDefault="001B75A1" w:rsidP="001B75A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bookmarkStart w:id="1" w:name="_GoBack"/>
      <w:bookmarkEnd w:id="1"/>
    </w:p>
    <w:tbl>
      <w:tblPr>
        <w:tblStyle w:val="ac"/>
        <w:tblpPr w:leftFromText="180" w:rightFromText="180" w:vertAnchor="text" w:horzAnchor="page" w:tblpX="1880" w:tblpY="11057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1B75A1" w:rsidRPr="00E8014E" w:rsidTr="001B75A1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1B75A1" w:rsidRPr="00E8014E" w:rsidTr="001B75A1">
        <w:tc>
          <w:tcPr>
            <w:tcW w:w="878" w:type="dxa"/>
            <w:tcBorders>
              <w:top w:val="nil"/>
              <w:bottom w:val="nil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1B75A1" w:rsidRPr="00E8014E" w:rsidRDefault="001B75A1" w:rsidP="001B75A1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1B75A1" w:rsidRPr="00E8014E" w:rsidTr="001B75A1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1B75A1" w:rsidRPr="00E8014E" w:rsidTr="001B75A1">
        <w:tc>
          <w:tcPr>
            <w:tcW w:w="878" w:type="dxa"/>
            <w:tcBorders>
              <w:top w:val="nil"/>
              <w:bottom w:val="nil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1B75A1" w:rsidRPr="00E8014E" w:rsidRDefault="001B75A1" w:rsidP="001B75A1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1B75A1" w:rsidRPr="00E8014E" w:rsidRDefault="001B75A1" w:rsidP="001B75A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6D" w:rsidRDefault="002F536D">
      <w:r>
        <w:separator/>
      </w:r>
    </w:p>
  </w:endnote>
  <w:endnote w:type="continuationSeparator" w:id="0">
    <w:p w:rsidR="002F536D" w:rsidRDefault="002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23" w:rsidRPr="00E85FEB" w:rsidRDefault="0067212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72123" w:rsidRDefault="00672123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0A9" w:rsidRPr="00C200A9">
      <w:rPr>
        <w:noProof/>
        <w:rtl/>
        <w:lang w:val="ar-SA"/>
      </w:rPr>
      <w:t>18</w:t>
    </w:r>
    <w:r>
      <w:rPr>
        <w:noProof/>
        <w:lang w:val="ar-SA"/>
      </w:rPr>
      <w:fldChar w:fldCharType="end"/>
    </w:r>
  </w:p>
  <w:p w:rsidR="00672123" w:rsidRPr="0094487B" w:rsidRDefault="00672123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23" w:rsidRPr="00BD314D" w:rsidRDefault="00672123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72123" w:rsidRDefault="00672123" w:rsidP="003A369E">
    <w:pPr>
      <w:pStyle w:val="a3"/>
      <w:bidi/>
    </w:pPr>
  </w:p>
  <w:p w:rsidR="00672123" w:rsidRDefault="006721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6D" w:rsidRDefault="002F536D">
      <w:r>
        <w:separator/>
      </w:r>
    </w:p>
  </w:footnote>
  <w:footnote w:type="continuationSeparator" w:id="0">
    <w:p w:rsidR="002F536D" w:rsidRDefault="002F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23" w:rsidRDefault="00672123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123" w:rsidRPr="00E9121F" w:rsidRDefault="00672123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B30C47"/>
    <w:multiLevelType w:val="hybridMultilevel"/>
    <w:tmpl w:val="4CA6E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23"/>
  </w:num>
  <w:num w:numId="11">
    <w:abstractNumId w:val="9"/>
  </w:num>
  <w:num w:numId="12">
    <w:abstractNumId w:val="26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5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6"/>
  </w:num>
  <w:num w:numId="27">
    <w:abstractNumId w:val="21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5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213E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75A1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509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37BBF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47CA6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536D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200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665E0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005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4A1E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8A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47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596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9C7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730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54A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09C3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2123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5DF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E0E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70F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ADB"/>
    <w:rsid w:val="007F0C4A"/>
    <w:rsid w:val="007F21EF"/>
    <w:rsid w:val="007F2629"/>
    <w:rsid w:val="007F2E9D"/>
    <w:rsid w:val="007F30AE"/>
    <w:rsid w:val="007F3282"/>
    <w:rsid w:val="007F45CD"/>
    <w:rsid w:val="007F4866"/>
    <w:rsid w:val="007F4983"/>
    <w:rsid w:val="007F56CF"/>
    <w:rsid w:val="007F5F86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A88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104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60B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1B80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29C9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8E2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2EF8"/>
    <w:rsid w:val="00A230C5"/>
    <w:rsid w:val="00A232A5"/>
    <w:rsid w:val="00A237A1"/>
    <w:rsid w:val="00A2406B"/>
    <w:rsid w:val="00A24252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BA2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379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DDC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0A9"/>
    <w:rsid w:val="00C20146"/>
    <w:rsid w:val="00C21251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BD5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3B9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90"/>
    <w:rsid w:val="00CF5950"/>
    <w:rsid w:val="00CF7BB4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3962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170C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412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0F95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1AA9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6CA7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4610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0FD7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BB29E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شبكة جدول فاتح1"/>
    <w:basedOn w:val="a1"/>
    <w:uiPriority w:val="40"/>
    <w:rsid w:val="009C68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1B75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AF962-52A9-4982-B1E7-BEB5C1F0F02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2E0CD1-0E2A-4423-95D8-454058FB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3052</Words>
  <Characters>17402</Characters>
  <Application>Microsoft Office Word</Application>
  <DocSecurity>0</DocSecurity>
  <Lines>145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7</cp:revision>
  <cp:lastPrinted>2016-01-19T12:24:00Z</cp:lastPrinted>
  <dcterms:created xsi:type="dcterms:W3CDTF">2018-03-26T11:54:00Z</dcterms:created>
  <dcterms:modified xsi:type="dcterms:W3CDTF">2019-03-06T18:16:00Z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