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BD1C91" w:rsidRPr="00BD1C9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BD1C91" w:rsidRPr="00BD1C9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النوازل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BD1C91" w:rsidRPr="00BD1C9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BD1C91" w:rsidRPr="00BD1C9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482</w:t>
      </w:r>
    </w:p>
    <w:p w:rsidR="008369B6" w:rsidRDefault="008369B6" w:rsidP="008369B6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8369B6" w:rsidRPr="00E8014E" w:rsidRDefault="008369B6" w:rsidP="008369B6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</w:t>
            </w:r>
            <w:r w:rsidR="002A0BF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نوازل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C72BD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</w:t>
            </w:r>
            <w:r w:rsidR="002A0BF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82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BD1C9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BD1C91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BD1C91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D1C91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D1C91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D1C91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D1C91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BB4379">
        <w:tc>
          <w:tcPr>
            <w:tcW w:w="4308" w:type="dxa"/>
          </w:tcPr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المدخل إلى </w:t>
            </w:r>
            <w:proofErr w:type="gramStart"/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النوازل :</w:t>
            </w:r>
            <w:proofErr w:type="gramEnd"/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1-تعريف </w:t>
            </w:r>
            <w:proofErr w:type="gramStart"/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النوازل :</w:t>
            </w:r>
            <w:proofErr w:type="gramEnd"/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بيان المراد بها , والمصطلحات المشابهة .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2-بيان أهمية دراسة فقه النوازل  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3-أنواع النوازل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4-مصادر فقه النوازل 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المؤلفات المتقدمة في فقه النوازل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المؤلفات المعاصرة في فقه النوازل</w:t>
            </w:r>
          </w:p>
          <w:p w:rsidR="00B85770" w:rsidRPr="00B85770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5-كيفية دراسة النازلة</w:t>
            </w:r>
          </w:p>
          <w:p w:rsidR="00DA4951" w:rsidRPr="00B6065E" w:rsidRDefault="00B85770" w:rsidP="00B85770">
            <w:pPr>
              <w:widowControl w:val="0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6- مناهج العلماء في التعامل مع </w:t>
            </w:r>
            <w:proofErr w:type="gramStart"/>
            <w:r w:rsidRPr="00B857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النوازل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119" w:type="dxa"/>
            <w:vAlign w:val="center"/>
          </w:tcPr>
          <w:p w:rsidR="00DA4951" w:rsidRPr="00E8014E" w:rsidRDefault="00C72BD5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75973" w:rsidRPr="00D75973" w:rsidRDefault="00D75973" w:rsidP="00D7597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</w:t>
            </w:r>
            <w:proofErr w:type="gramStart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الطهارة :</w:t>
            </w:r>
            <w:proofErr w:type="gramEnd"/>
          </w:p>
          <w:p w:rsidR="00D75973" w:rsidRPr="00D75973" w:rsidRDefault="00D75973" w:rsidP="00D7597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1-الماء الذي تغير أحد أوصافه بالمطهرات </w:t>
            </w:r>
            <w:proofErr w:type="gramStart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الحديثة .</w:t>
            </w:r>
            <w:proofErr w:type="gramEnd"/>
          </w:p>
          <w:p w:rsidR="00D75973" w:rsidRPr="00D75973" w:rsidRDefault="00D75973" w:rsidP="00D7597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التطهير بمغاسل </w:t>
            </w:r>
            <w:proofErr w:type="gramStart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البخار .</w:t>
            </w:r>
            <w:proofErr w:type="gramEnd"/>
          </w:p>
          <w:p w:rsidR="00D75973" w:rsidRPr="00D75973" w:rsidRDefault="00D75973" w:rsidP="00D7597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أثر طلاء الأظافر والرموش الصناعية ونحوهما على </w:t>
            </w:r>
            <w:proofErr w:type="gramStart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الطهارة .</w:t>
            </w:r>
            <w:proofErr w:type="gramEnd"/>
          </w:p>
          <w:p w:rsidR="00E14468" w:rsidRPr="00657B44" w:rsidRDefault="00D75973" w:rsidP="00D7597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استعمال المواد التي يدخل في تركيبها مواد </w:t>
            </w:r>
            <w:proofErr w:type="gramStart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نجسة ,</w:t>
            </w:r>
            <w:proofErr w:type="gramEnd"/>
            <w:r w:rsidRPr="00D7597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واستحالت بعد تصنيعها .</w:t>
            </w:r>
          </w:p>
        </w:tc>
        <w:tc>
          <w:tcPr>
            <w:tcW w:w="1119" w:type="dxa"/>
            <w:vAlign w:val="center"/>
          </w:tcPr>
          <w:p w:rsidR="00E14468" w:rsidRPr="00E8014E" w:rsidRDefault="008B710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A7B77" w:rsidRPr="006A7B77" w:rsidRDefault="006A7B77" w:rsidP="006A7B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</w:t>
            </w:r>
            <w:proofErr w:type="gramStart"/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الصلاة :</w:t>
            </w:r>
            <w:proofErr w:type="gramEnd"/>
          </w:p>
          <w:p w:rsidR="006A7B77" w:rsidRPr="006A7B77" w:rsidRDefault="006A7B77" w:rsidP="006A7B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-رفع الأذان بآلات </w:t>
            </w:r>
            <w:proofErr w:type="gramStart"/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التسجيل ,</w:t>
            </w:r>
            <w:proofErr w:type="gramEnd"/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ومتابعته .</w:t>
            </w:r>
          </w:p>
          <w:p w:rsidR="006A7B77" w:rsidRPr="006A7B77" w:rsidRDefault="006A7B77" w:rsidP="006A7B7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-التصوير الفوتوغرافي </w:t>
            </w:r>
            <w:proofErr w:type="gramStart"/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والتلفزيوني .</w:t>
            </w:r>
            <w:proofErr w:type="gramEnd"/>
          </w:p>
          <w:p w:rsidR="00E14468" w:rsidRPr="006A7B77" w:rsidRDefault="006A7B77" w:rsidP="006A7B77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 الصلاة في وسائل النقل </w:t>
            </w:r>
            <w:proofErr w:type="gramStart"/>
            <w:r w:rsidRPr="006A7B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6A7B7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BB4379">
        <w:tc>
          <w:tcPr>
            <w:tcW w:w="4308" w:type="dxa"/>
          </w:tcPr>
          <w:p w:rsidR="001B1378" w:rsidRPr="001B1378" w:rsidRDefault="001B1378" w:rsidP="001B137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زيارة فاقد </w:t>
            </w:r>
            <w:proofErr w:type="gramStart"/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الوعى .</w:t>
            </w:r>
            <w:proofErr w:type="gramEnd"/>
          </w:p>
          <w:p w:rsidR="001B1378" w:rsidRPr="001B1378" w:rsidRDefault="001B1378" w:rsidP="001B137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-نقل الجثة للصلاة عليه ودفنه في المسجد الحرام أو </w:t>
            </w:r>
            <w:proofErr w:type="gramStart"/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بلده .</w:t>
            </w:r>
            <w:proofErr w:type="gramEnd"/>
          </w:p>
          <w:p w:rsidR="00DB2853" w:rsidRPr="00D23962" w:rsidRDefault="001B1378" w:rsidP="001B1378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-السفر للصلاة على </w:t>
            </w:r>
            <w:proofErr w:type="gramStart"/>
            <w:r w:rsidRPr="001B137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الميت .</w:t>
            </w:r>
            <w:proofErr w:type="gramEnd"/>
          </w:p>
        </w:tc>
        <w:tc>
          <w:tcPr>
            <w:tcW w:w="1119" w:type="dxa"/>
            <w:vAlign w:val="center"/>
          </w:tcPr>
          <w:p w:rsidR="00DB2853" w:rsidRPr="00E8014E" w:rsidRDefault="001B1378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977FD5" w:rsidRPr="00977FD5" w:rsidRDefault="00977FD5" w:rsidP="00977F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</w:t>
            </w:r>
            <w:proofErr w:type="gramStart"/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الزكاة :</w:t>
            </w:r>
            <w:proofErr w:type="gramEnd"/>
          </w:p>
          <w:p w:rsidR="00977FD5" w:rsidRPr="00977FD5" w:rsidRDefault="00977FD5" w:rsidP="00977F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-تأثير الديون الاستثمارية والاسكانية في بلوغ النصاب.</w:t>
            </w:r>
          </w:p>
          <w:p w:rsidR="00977FD5" w:rsidRPr="00977FD5" w:rsidRDefault="00977FD5" w:rsidP="00977F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-زكاة الحساب </w:t>
            </w:r>
            <w:proofErr w:type="gramStart"/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الجاري .</w:t>
            </w:r>
            <w:proofErr w:type="gramEnd"/>
          </w:p>
          <w:p w:rsidR="00977FD5" w:rsidRPr="00977FD5" w:rsidRDefault="00977FD5" w:rsidP="00977F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-صرف الزكاة لشراء </w:t>
            </w:r>
            <w:proofErr w:type="gramStart"/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مسكن .</w:t>
            </w:r>
            <w:proofErr w:type="gramEnd"/>
          </w:p>
          <w:p w:rsidR="00E14468" w:rsidRPr="00977FD5" w:rsidRDefault="00977FD5" w:rsidP="00977FD5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-مصرف في سبيل </w:t>
            </w:r>
            <w:proofErr w:type="gramStart"/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الله ,</w:t>
            </w:r>
            <w:proofErr w:type="gramEnd"/>
            <w:r w:rsidRPr="00977F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وتطبيقاته المعاصرة</w:t>
            </w:r>
            <w:r w:rsidRPr="00977FD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 .</w:t>
            </w:r>
          </w:p>
        </w:tc>
        <w:tc>
          <w:tcPr>
            <w:tcW w:w="1119" w:type="dxa"/>
            <w:vAlign w:val="center"/>
          </w:tcPr>
          <w:p w:rsidR="00E14468" w:rsidRPr="00E8014E" w:rsidRDefault="00977F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2B29F9" w:rsidRPr="002B29F9" w:rsidRDefault="002B29F9" w:rsidP="002B29F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</w:t>
            </w:r>
            <w:proofErr w:type="gramStart"/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الصيام :</w:t>
            </w:r>
            <w:proofErr w:type="gramEnd"/>
          </w:p>
          <w:p w:rsidR="002B29F9" w:rsidRPr="002B29F9" w:rsidRDefault="002B29F9" w:rsidP="002B29F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-أثر ما يدخل البدن عن طريق الجهاز الهضمي على </w:t>
            </w:r>
            <w:proofErr w:type="gramStart"/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الصيام ,</w:t>
            </w:r>
            <w:proofErr w:type="gramEnd"/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(أدوية ما تحت اللسان , ومنظار المعدة)</w:t>
            </w:r>
          </w:p>
          <w:p w:rsidR="00BB4379" w:rsidRPr="00BB4379" w:rsidRDefault="002B29F9" w:rsidP="002B29F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-أثر الغسيل الكلوي الدموي والبروتيني على </w:t>
            </w:r>
            <w:proofErr w:type="gramStart"/>
            <w:r w:rsidRPr="002B29F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الصيام .</w:t>
            </w:r>
            <w:proofErr w:type="gramEnd"/>
            <w:r w:rsidR="00BB4379" w:rsidRPr="00BB43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</w:p>
          <w:p w:rsidR="007E180E" w:rsidRPr="007E180E" w:rsidRDefault="007E180E" w:rsidP="002B29F9">
            <w:pPr>
              <w:pStyle w:val="ad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E14468" w:rsidRPr="00BB4379" w:rsidRDefault="00E14468" w:rsidP="00E144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2B29F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A61316" w:rsidRPr="00A61316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نوازل في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المناسك :</w:t>
            </w:r>
            <w:proofErr w:type="gramEnd"/>
          </w:p>
          <w:p w:rsidR="00A61316" w:rsidRPr="00A61316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lastRenderedPageBreak/>
              <w:t xml:space="preserve">1-اعتبار جدة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ميقاتا .</w:t>
            </w:r>
            <w:proofErr w:type="gramEnd"/>
          </w:p>
          <w:p w:rsidR="00A61316" w:rsidRPr="00A61316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2- الصابون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المعطر .</w:t>
            </w:r>
            <w:proofErr w:type="gramEnd"/>
          </w:p>
          <w:p w:rsidR="00A61316" w:rsidRPr="00A61316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3- لبس الرداء والإزار المخيط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للمحرم .</w:t>
            </w:r>
            <w:proofErr w:type="gramEnd"/>
          </w:p>
          <w:p w:rsidR="00A61316" w:rsidRPr="00A61316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4- ترك المبيت بمزدلفة لتعذر الوصول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إليها .</w:t>
            </w:r>
            <w:proofErr w:type="gramEnd"/>
          </w:p>
          <w:p w:rsidR="001A1E5A" w:rsidRPr="001A1E5A" w:rsidRDefault="00A61316" w:rsidP="00A61316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5- ترك المبيت </w:t>
            </w:r>
            <w:proofErr w:type="spell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بمنى</w:t>
            </w:r>
            <w:proofErr w:type="spellEnd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 xml:space="preserve"> لعدم وجود مكان </w:t>
            </w:r>
            <w:proofErr w:type="gramStart"/>
            <w:r w:rsidRPr="00A6131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ar-SA"/>
              </w:rPr>
              <w:t>فيها .</w:t>
            </w:r>
            <w:proofErr w:type="gramEnd"/>
          </w:p>
          <w:p w:rsidR="0040417E" w:rsidRPr="001A1E5A" w:rsidRDefault="0040417E" w:rsidP="007E7ADB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65439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023AF8" w:rsidRPr="00023AF8" w:rsidRDefault="00023AF8" w:rsidP="00023AF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</w:t>
            </w:r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المعاملات :</w:t>
            </w:r>
            <w:proofErr w:type="gramEnd"/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التكييف الفقهي للحساب الجاري </w:t>
            </w:r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الأوراق النقدية</w:t>
            </w:r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الأوراق </w:t>
            </w:r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المالية .</w:t>
            </w:r>
            <w:proofErr w:type="gramEnd"/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الأوراق </w:t>
            </w:r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التجارية .</w:t>
            </w:r>
            <w:proofErr w:type="gramEnd"/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التورقالمصرفي</w:t>
            </w:r>
            <w:proofErr w:type="spellEnd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المتاجرة بالعملات وكيفية التسوية في أسواق </w:t>
            </w:r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العملات .</w:t>
            </w:r>
            <w:proofErr w:type="gramEnd"/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عقود التوريد.</w:t>
            </w:r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خطاب الضمان </w:t>
            </w:r>
          </w:p>
          <w:p w:rsidR="00023AF8" w:rsidRPr="00023AF8" w:rsidRDefault="00023AF8" w:rsidP="00023AF8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أقسام الشركات المعاصرة والأحكام المتعلقة بكل </w:t>
            </w:r>
            <w:proofErr w:type="gramStart"/>
            <w:r w:rsidRPr="00023AF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قسم .</w:t>
            </w:r>
            <w:proofErr w:type="gramEnd"/>
          </w:p>
          <w:p w:rsidR="00C5188C" w:rsidRPr="00686074" w:rsidRDefault="00023AF8" w:rsidP="00686074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860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شركات التأمين.</w:t>
            </w:r>
            <w:r w:rsidR="00C5188C" w:rsidRPr="006860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86074" w:rsidRDefault="00686074" w:rsidP="00686074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607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بيع المرابحة للآمر بالشراء </w:t>
            </w:r>
          </w:p>
          <w:p w:rsidR="00C5188C" w:rsidRPr="00AD103C" w:rsidRDefault="00686074" w:rsidP="00AD103C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D103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التأجير المنتهي بالتمليك</w:t>
            </w:r>
          </w:p>
          <w:p w:rsidR="00AD103C" w:rsidRDefault="00AD103C" w:rsidP="00AD103C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بطاقات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الإئتمان</w:t>
            </w:r>
            <w:proofErr w:type="spellEnd"/>
          </w:p>
          <w:p w:rsidR="00AD103C" w:rsidRPr="00AD103C" w:rsidRDefault="00AD103C" w:rsidP="00AD103C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جمعيات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الموظفين .</w:t>
            </w:r>
            <w:proofErr w:type="gramEnd"/>
          </w:p>
          <w:p w:rsidR="00C5188C" w:rsidRPr="001A1E5A" w:rsidRDefault="00C5188C" w:rsidP="00734E0E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F8774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124D80" w:rsidRPr="00124D80" w:rsidRDefault="00124D80" w:rsidP="00124D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نوازل في فقه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الأسرة :</w:t>
            </w:r>
            <w:proofErr w:type="gramEnd"/>
          </w:p>
          <w:p w:rsidR="00124D80" w:rsidRPr="00124D80" w:rsidRDefault="00124D80" w:rsidP="00124D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1. الأنكحة المستحدثة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زواج</w:t>
            </w:r>
            <w:proofErr w:type="gramEnd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المسيار - زواج الأصدقاء – الزواج العرفي ).  </w:t>
            </w:r>
          </w:p>
          <w:p w:rsidR="00124D80" w:rsidRPr="00124D80" w:rsidRDefault="00124D80" w:rsidP="00124D80">
            <w:pPr>
              <w:numPr>
                <w:ilvl w:val="0"/>
                <w:numId w:val="33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أطفال الأنابيب والتلقيح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الصناعي .</w:t>
            </w:r>
            <w:proofErr w:type="gramEnd"/>
          </w:p>
          <w:p w:rsidR="00124D80" w:rsidRPr="00124D80" w:rsidRDefault="00124D80" w:rsidP="00124D80">
            <w:pPr>
              <w:numPr>
                <w:ilvl w:val="0"/>
                <w:numId w:val="32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تحديد جنس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الجنين .</w:t>
            </w:r>
            <w:proofErr w:type="gramEnd"/>
          </w:p>
          <w:p w:rsidR="00C5188C" w:rsidRPr="00200509" w:rsidRDefault="00124D80" w:rsidP="00124D80">
            <w:pPr>
              <w:pStyle w:val="ad"/>
              <w:widowControl w:val="0"/>
              <w:tabs>
                <w:tab w:val="left" w:pos="386"/>
                <w:tab w:val="left" w:pos="583"/>
                <w:tab w:val="left" w:pos="763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إسقاط الأجنة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المشوهة .</w:t>
            </w:r>
            <w:proofErr w:type="gramEnd"/>
          </w:p>
        </w:tc>
        <w:tc>
          <w:tcPr>
            <w:tcW w:w="1119" w:type="dxa"/>
            <w:vAlign w:val="center"/>
          </w:tcPr>
          <w:p w:rsidR="00C5188C" w:rsidRDefault="0020050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BB4379">
        <w:tc>
          <w:tcPr>
            <w:tcW w:w="4308" w:type="dxa"/>
          </w:tcPr>
          <w:p w:rsidR="00124D80" w:rsidRPr="00124D80" w:rsidRDefault="00124D80" w:rsidP="00124D80">
            <w:pPr>
              <w:numPr>
                <w:ilvl w:val="0"/>
                <w:numId w:val="35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استخدام موانع الحمل وتنظيمه.</w:t>
            </w:r>
          </w:p>
          <w:p w:rsidR="00124D80" w:rsidRPr="00124D80" w:rsidRDefault="00124D80" w:rsidP="00124D80">
            <w:pPr>
              <w:numPr>
                <w:ilvl w:val="0"/>
                <w:numId w:val="3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نفقة الزوجة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الموظفة .</w:t>
            </w:r>
            <w:proofErr w:type="gramEnd"/>
          </w:p>
          <w:p w:rsidR="00124D80" w:rsidRPr="00124D80" w:rsidRDefault="00124D80" w:rsidP="00124D80">
            <w:pPr>
              <w:numPr>
                <w:ilvl w:val="0"/>
                <w:numId w:val="3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جراحة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التجميل .</w:t>
            </w:r>
            <w:proofErr w:type="gramEnd"/>
          </w:p>
          <w:p w:rsidR="004153EC" w:rsidRPr="00882A88" w:rsidRDefault="00124D80" w:rsidP="00124D8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البصمة الوراثية وأثرها في إثبات النسب أو </w:t>
            </w:r>
            <w:proofErr w:type="gramStart"/>
            <w:r w:rsidRPr="00124D8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نفيه .</w:t>
            </w:r>
            <w:proofErr w:type="gramEnd"/>
          </w:p>
        </w:tc>
        <w:tc>
          <w:tcPr>
            <w:tcW w:w="1119" w:type="dxa"/>
            <w:vAlign w:val="center"/>
          </w:tcPr>
          <w:p w:rsidR="004153EC" w:rsidRDefault="00882A88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5B74CF">
        <w:tc>
          <w:tcPr>
            <w:tcW w:w="4308" w:type="dxa"/>
            <w:vAlign w:val="center"/>
          </w:tcPr>
          <w:p w:rsidR="000F4F4A" w:rsidRPr="000F4F4A" w:rsidRDefault="000F4F4A" w:rsidP="000F4F4A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نو</w:t>
            </w: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ازل في الحدود والأطعمة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والقضاء :</w:t>
            </w:r>
            <w:proofErr w:type="gramEnd"/>
          </w:p>
          <w:p w:rsidR="000F4F4A" w:rsidRPr="000F4F4A" w:rsidRDefault="000F4F4A" w:rsidP="000F4F4A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اللحوم المستوردة من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الخارج .</w:t>
            </w:r>
            <w:proofErr w:type="gramEnd"/>
          </w:p>
          <w:p w:rsidR="000F4F4A" w:rsidRPr="000F4F4A" w:rsidRDefault="000F4F4A" w:rsidP="000F4F4A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تناول الأطعمة المشتملة على نسبة قليلة من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الكحول .</w:t>
            </w:r>
            <w:proofErr w:type="gramEnd"/>
          </w:p>
          <w:p w:rsidR="000F4F4A" w:rsidRPr="000F4F4A" w:rsidRDefault="000F4F4A" w:rsidP="000F4F4A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إعادة اليد المقطوعة في حد أو قصاص إلى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صاحبها .</w:t>
            </w:r>
            <w:proofErr w:type="gramEnd"/>
          </w:p>
          <w:p w:rsidR="000F4F4A" w:rsidRPr="000F4F4A" w:rsidRDefault="000F4F4A" w:rsidP="000F4F4A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استخدام البنج عند القطع في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السرقة .</w:t>
            </w:r>
            <w:proofErr w:type="gramEnd"/>
          </w:p>
          <w:p w:rsidR="000F4F4A" w:rsidRPr="000F4F4A" w:rsidRDefault="000F4F4A" w:rsidP="000F4F4A">
            <w:pPr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وسائل الإثبات المعاصرة مثل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التصوير ,</w:t>
            </w:r>
            <w:proofErr w:type="gramEnd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التسجيل الصوتي .</w:t>
            </w:r>
          </w:p>
          <w:p w:rsidR="004153EC" w:rsidRPr="001A1E5A" w:rsidRDefault="000F4F4A" w:rsidP="000F4F4A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ind w:left="72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سرقة حق </w:t>
            </w:r>
            <w:proofErr w:type="gramStart"/>
            <w:r w:rsidRPr="000F4F4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التأليف .</w:t>
            </w:r>
            <w:proofErr w:type="gramEnd"/>
          </w:p>
        </w:tc>
        <w:tc>
          <w:tcPr>
            <w:tcW w:w="1119" w:type="dxa"/>
            <w:vAlign w:val="center"/>
          </w:tcPr>
          <w:p w:rsidR="004153EC" w:rsidRDefault="00E50F95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153EC" w:rsidRPr="00C5188C" w:rsidRDefault="004153EC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4153EC" w:rsidRPr="00E50F95" w:rsidRDefault="004153EC" w:rsidP="004153EC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CF06EB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توضيح جملة من النوازل في </w:t>
            </w:r>
            <w:proofErr w:type="gramStart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العبادات,</w:t>
            </w:r>
            <w:proofErr w:type="gramEnd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ومعرفة أحكامها الفقهية.</w:t>
            </w:r>
          </w:p>
        </w:tc>
        <w:tc>
          <w:tcPr>
            <w:tcW w:w="2896" w:type="dxa"/>
            <w:vMerge w:val="restart"/>
            <w:vAlign w:val="center"/>
          </w:tcPr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الصفية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الحوار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والنقاش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داخل القاعة في المراجع مع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lastRenderedPageBreak/>
              <w:t xml:space="preserve">التحليل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والشرح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تلخيص المعلومات</w:t>
            </w: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والرسومات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الشجرية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وعرضها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بأجهزة العرض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تبادل الأدوار والمحكمة الصورية.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العصف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الذهني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الأبحاث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الفردية  والجماعية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التعلم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الذاتي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الفقهية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الخارجية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المنزلية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توضيح جملة من النوازل في </w:t>
            </w:r>
            <w:proofErr w:type="gramStart"/>
            <w:r w:rsidR="00DB13B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المعاملات ،</w:t>
            </w:r>
            <w:proofErr w:type="gramEnd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ومعرفة أحكامها الفقهية.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B85B75" w:rsidP="00B85B75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قادرا على توضيح جملة من النوازل في </w:t>
            </w:r>
            <w:proofErr w:type="spellStart"/>
            <w:proofErr w:type="gramStart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ا</w:t>
            </w:r>
            <w:r w:rsidR="00DB13B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الأسرة</w:t>
            </w:r>
            <w:proofErr w:type="spellEnd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,</w:t>
            </w:r>
            <w:proofErr w:type="gramEnd"/>
            <w:r w:rsidRPr="00B85B75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ومعرفة أحكامها الفقهية.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FA7EE7" w:rsidP="00FA7EE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توضيح جملة من النوازل في </w:t>
            </w:r>
            <w:proofErr w:type="gramStart"/>
            <w:r w:rsidR="00DB13B1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الجنايات </w:t>
            </w: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,</w:t>
            </w:r>
            <w:proofErr w:type="gramEnd"/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ومعرفة أحكامها الفقهية.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FA7EE7" w:rsidP="00FA7EE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توضيح جملة من النوازل في </w:t>
            </w:r>
            <w:r w:rsidR="00DB13B1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الحدود والأطعمة </w:t>
            </w:r>
            <w:proofErr w:type="gramStart"/>
            <w:r w:rsidR="00DB13B1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والقضاء </w:t>
            </w:r>
            <w:bookmarkStart w:id="0" w:name="LastPosition"/>
            <w:bookmarkEnd w:id="0"/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,</w:t>
            </w:r>
            <w:proofErr w:type="gramEnd"/>
            <w:r w:rsidRPr="00FA7EE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ومعرفة أحكامها الفقهية.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القراءة الفقهية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الناقدة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القاعة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البحث العلمي في المصادر الفقهية وقواعد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والتصنيف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الفروق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الصغيرة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عرض المنهج العلمي لاستنباط الأحكام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الزيارات الميدانية للمعمل </w:t>
            </w: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الفقهي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أسلوب دراسة النوازل الفقهية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التدريب والتطبيق على بعض القواعد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استقراء المراجع الفقهية 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نماذج بحثية للمحاكاة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9A29C9" w:rsidRDefault="00E14468" w:rsidP="00745041">
            <w:pPr>
              <w:jc w:val="center"/>
              <w:rPr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المناشطالجماعية</w:t>
            </w:r>
            <w:proofErr w:type="spellEnd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على المناشط غير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الفقهية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ملف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والنقاش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بإجراء البحوث والواجبات المنزلية باستخدام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فقهية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العرض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الشاملة .</w:t>
            </w:r>
            <w:proofErr w:type="gramEnd"/>
          </w:p>
          <w:p w:rsidR="00E14468" w:rsidRPr="00E8014E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التحرير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BD1C91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BD1C91" w:rsidRPr="00BD1C9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D1C91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BD1C91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BD1C91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BD1C91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BD1C91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BD1C91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8369B6" w:rsidRDefault="008369B6" w:rsidP="008369B6">
      <w:pPr>
        <w:rPr>
          <w:b/>
          <w:bCs/>
          <w:sz w:val="28"/>
          <w:szCs w:val="28"/>
          <w:lang w:val="en-US"/>
        </w:rPr>
      </w:pPr>
    </w:p>
    <w:p w:rsidR="008369B6" w:rsidRPr="008369B6" w:rsidRDefault="008369B6" w:rsidP="008369B6">
      <w:pPr>
        <w:rPr>
          <w:sz w:val="22"/>
          <w:szCs w:val="22"/>
        </w:rPr>
      </w:pPr>
    </w:p>
    <w:p w:rsidR="008369B6" w:rsidRPr="008369B6" w:rsidRDefault="008369B6" w:rsidP="008369B6">
      <w:pPr>
        <w:jc w:val="right"/>
        <w:rPr>
          <w:sz w:val="28"/>
          <w:szCs w:val="28"/>
          <w:lang w:val="en-US"/>
        </w:rPr>
      </w:pPr>
      <w:r w:rsidRPr="008369B6">
        <w:rPr>
          <w:rFonts w:hint="cs"/>
          <w:sz w:val="28"/>
          <w:szCs w:val="28"/>
          <w:rtl/>
        </w:rPr>
        <w:t>مصفوفة اختبا</w:t>
      </w:r>
      <w:r>
        <w:rPr>
          <w:rFonts w:hint="cs"/>
          <w:sz w:val="28"/>
          <w:szCs w:val="28"/>
          <w:rtl/>
        </w:rPr>
        <w:t xml:space="preserve">ر </w:t>
      </w:r>
    </w:p>
    <w:p w:rsidR="008369B6" w:rsidRDefault="008369B6" w:rsidP="008369B6">
      <w:pPr>
        <w:jc w:val="right"/>
        <w:rPr>
          <w:sz w:val="28"/>
          <w:szCs w:val="28"/>
          <w:lang w:val="en-US"/>
        </w:rPr>
      </w:pPr>
    </w:p>
    <w:tbl>
      <w:tblPr>
        <w:tblStyle w:val="ac"/>
        <w:tblW w:w="9498" w:type="dxa"/>
        <w:tblLook w:val="04A0" w:firstRow="1" w:lastRow="0" w:firstColumn="1" w:lastColumn="0" w:noHBand="0" w:noVBand="1"/>
      </w:tblPr>
      <w:tblGrid>
        <w:gridCol w:w="1133"/>
        <w:gridCol w:w="930"/>
        <w:gridCol w:w="987"/>
        <w:gridCol w:w="1074"/>
        <w:gridCol w:w="1263"/>
        <w:gridCol w:w="4111"/>
      </w:tblGrid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نصيب الجانب المعرفي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الدرجة المستحقة من 60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الوزن النسبي للموضوع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الساعات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الموضوع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8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13.3%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4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</w:rPr>
              <w:t>مدخل إلى النوازل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6.6%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2</w:t>
            </w:r>
          </w:p>
        </w:tc>
        <w:tc>
          <w:tcPr>
            <w:tcW w:w="4111" w:type="dxa"/>
          </w:tcPr>
          <w:p w:rsidR="008369B6" w:rsidRPr="008369B6" w:rsidRDefault="008369B6" w:rsidP="004B15DB">
            <w:pPr>
              <w:jc w:val="right"/>
            </w:pPr>
          </w:p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</w:rPr>
              <w:t xml:space="preserve">نوازل الطهارة 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8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13.3%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4</w:t>
            </w:r>
          </w:p>
        </w:tc>
        <w:tc>
          <w:tcPr>
            <w:tcW w:w="4111" w:type="dxa"/>
          </w:tcPr>
          <w:p w:rsidR="008369B6" w:rsidRPr="008369B6" w:rsidRDefault="008369B6" w:rsidP="004B15DB">
            <w:pPr>
              <w:jc w:val="right"/>
            </w:pPr>
            <w:r w:rsidRPr="008369B6">
              <w:rPr>
                <w:rFonts w:hint="cs"/>
                <w:rtl/>
              </w:rPr>
              <w:t xml:space="preserve">نوازل الصلاة </w:t>
            </w:r>
          </w:p>
          <w:p w:rsidR="008369B6" w:rsidRPr="008369B6" w:rsidRDefault="008369B6" w:rsidP="004B15DB">
            <w:pPr>
              <w:jc w:val="right"/>
            </w:pP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6.6%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2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</w:rPr>
              <w:t>نوازل الزكاة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6.6%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2</w:t>
            </w:r>
          </w:p>
        </w:tc>
        <w:tc>
          <w:tcPr>
            <w:tcW w:w="4111" w:type="dxa"/>
          </w:tcPr>
          <w:p w:rsidR="008369B6" w:rsidRPr="008369B6" w:rsidRDefault="008369B6" w:rsidP="004B15DB">
            <w:pPr>
              <w:jc w:val="right"/>
            </w:pPr>
            <w:proofErr w:type="gramStart"/>
            <w:r w:rsidRPr="008369B6">
              <w:rPr>
                <w:rFonts w:hint="cs"/>
                <w:rtl/>
              </w:rPr>
              <w:t>نوازل  الصيام</w:t>
            </w:r>
            <w:proofErr w:type="gramEnd"/>
            <w:r w:rsidRPr="008369B6">
              <w:rPr>
                <w:rFonts w:hint="cs"/>
                <w:rtl/>
              </w:rPr>
              <w:t xml:space="preserve"> </w:t>
            </w:r>
          </w:p>
          <w:p w:rsidR="008369B6" w:rsidRPr="008369B6" w:rsidRDefault="008369B6" w:rsidP="004B15DB">
            <w:pPr>
              <w:jc w:val="right"/>
            </w:pP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8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13.3%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4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rFonts w:hint="cs"/>
                <w:rtl/>
                <w:lang w:val="en-US"/>
              </w:rPr>
              <w:t>نوازل المناسك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8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t>4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12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20%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6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center"/>
              <w:rPr>
                <w:lang w:val="en-US"/>
              </w:rPr>
            </w:pPr>
            <w:r w:rsidRPr="008369B6">
              <w:rPr>
                <w:rFonts w:hint="cs"/>
                <w:rtl/>
              </w:rPr>
              <w:t>نوازل المعاملات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8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13.3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4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center"/>
            </w:pPr>
            <w:r w:rsidRPr="008369B6">
              <w:rPr>
                <w:rFonts w:hint="cs"/>
                <w:rtl/>
              </w:rPr>
              <w:t>نوازل فقه الأسرة</w:t>
            </w:r>
          </w:p>
        </w:tc>
      </w:tr>
      <w:tr w:rsidR="008369B6" w:rsidRPr="008369B6" w:rsidTr="008369B6">
        <w:tc>
          <w:tcPr>
            <w:tcW w:w="113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30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2</w:t>
            </w:r>
          </w:p>
        </w:tc>
        <w:tc>
          <w:tcPr>
            <w:tcW w:w="987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4</w:t>
            </w: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6.6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  <w:r w:rsidRPr="008369B6">
              <w:rPr>
                <w:lang w:val="en-US"/>
              </w:rPr>
              <w:t>2</w:t>
            </w:r>
          </w:p>
        </w:tc>
        <w:tc>
          <w:tcPr>
            <w:tcW w:w="4111" w:type="dxa"/>
            <w:hideMark/>
          </w:tcPr>
          <w:p w:rsidR="008369B6" w:rsidRPr="008369B6" w:rsidRDefault="008369B6" w:rsidP="004B15DB">
            <w:pPr>
              <w:jc w:val="center"/>
            </w:pPr>
            <w:r w:rsidRPr="008369B6">
              <w:rPr>
                <w:rFonts w:hint="cs"/>
                <w:rtl/>
              </w:rPr>
              <w:t>نوازل في الحدود والأطعمة والقضاء</w:t>
            </w:r>
          </w:p>
        </w:tc>
      </w:tr>
      <w:tr w:rsidR="008369B6" w:rsidRPr="008369B6" w:rsidTr="008369B6">
        <w:tc>
          <w:tcPr>
            <w:tcW w:w="1133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930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987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1074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1263" w:type="dxa"/>
          </w:tcPr>
          <w:p w:rsidR="008369B6" w:rsidRPr="008369B6" w:rsidRDefault="008369B6" w:rsidP="004B15DB">
            <w:pPr>
              <w:jc w:val="right"/>
              <w:rPr>
                <w:lang w:val="en-US"/>
              </w:rPr>
            </w:pPr>
          </w:p>
        </w:tc>
        <w:tc>
          <w:tcPr>
            <w:tcW w:w="4111" w:type="dxa"/>
          </w:tcPr>
          <w:p w:rsidR="008369B6" w:rsidRPr="008369B6" w:rsidRDefault="008369B6" w:rsidP="004B15DB">
            <w:pPr>
              <w:jc w:val="center"/>
            </w:pPr>
          </w:p>
        </w:tc>
      </w:tr>
      <w:tr w:rsidR="008369B6" w:rsidRPr="008369B6" w:rsidTr="008369B6">
        <w:tc>
          <w:tcPr>
            <w:tcW w:w="1133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930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987" w:type="dxa"/>
          </w:tcPr>
          <w:p w:rsidR="008369B6" w:rsidRPr="008369B6" w:rsidRDefault="008369B6" w:rsidP="004B15DB">
            <w:pPr>
              <w:jc w:val="right"/>
            </w:pPr>
          </w:p>
        </w:tc>
        <w:tc>
          <w:tcPr>
            <w:tcW w:w="1074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99.6%</w:t>
            </w:r>
          </w:p>
        </w:tc>
        <w:tc>
          <w:tcPr>
            <w:tcW w:w="1263" w:type="dxa"/>
            <w:hideMark/>
          </w:tcPr>
          <w:p w:rsidR="008369B6" w:rsidRPr="008369B6" w:rsidRDefault="008369B6" w:rsidP="004B15DB">
            <w:pPr>
              <w:jc w:val="right"/>
            </w:pPr>
            <w:r w:rsidRPr="008369B6">
              <w:t>30</w:t>
            </w:r>
          </w:p>
        </w:tc>
        <w:tc>
          <w:tcPr>
            <w:tcW w:w="4111" w:type="dxa"/>
          </w:tcPr>
          <w:p w:rsidR="008369B6" w:rsidRPr="008369B6" w:rsidRDefault="008369B6" w:rsidP="004B15DB">
            <w:pPr>
              <w:jc w:val="right"/>
            </w:pPr>
            <w:r w:rsidRPr="008369B6">
              <w:rPr>
                <w:rFonts w:hint="cs"/>
                <w:rtl/>
              </w:rPr>
              <w:t>المجموع</w:t>
            </w:r>
          </w:p>
          <w:p w:rsidR="008369B6" w:rsidRPr="008369B6" w:rsidRDefault="008369B6" w:rsidP="004B15DB">
            <w:pPr>
              <w:jc w:val="right"/>
            </w:pPr>
          </w:p>
        </w:tc>
      </w:tr>
    </w:tbl>
    <w:p w:rsidR="008369B6" w:rsidRDefault="008369B6" w:rsidP="008369B6">
      <w:pPr>
        <w:jc w:val="right"/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  <w:lang w:val="en-US"/>
        </w:rPr>
      </w:pPr>
    </w:p>
    <w:p w:rsidR="008369B6" w:rsidRDefault="008369B6" w:rsidP="008369B6">
      <w:pPr>
        <w:rPr>
          <w:sz w:val="28"/>
          <w:szCs w:val="28"/>
        </w:rPr>
      </w:pPr>
    </w:p>
    <w:p w:rsidR="008369B6" w:rsidRDefault="008369B6" w:rsidP="008369B6">
      <w:pPr>
        <w:jc w:val="right"/>
        <w:rPr>
          <w:sz w:val="28"/>
          <w:szCs w:val="28"/>
          <w:lang w:val="en-US"/>
        </w:rPr>
      </w:pPr>
    </w:p>
    <w:p w:rsidR="008369B6" w:rsidRDefault="008369B6" w:rsidP="008369B6">
      <w:pPr>
        <w:rPr>
          <w:lang w:val="en-US"/>
        </w:rPr>
      </w:pPr>
    </w:p>
    <w:p w:rsidR="008369B6" w:rsidRDefault="008369B6" w:rsidP="008369B6">
      <w:pPr>
        <w:rPr>
          <w:rtl/>
          <w:lang w:val="en-US"/>
        </w:rPr>
      </w:pPr>
    </w:p>
    <w:p w:rsidR="008369B6" w:rsidRDefault="008369B6" w:rsidP="008369B6"/>
    <w:p w:rsidR="008369B6" w:rsidRDefault="008369B6" w:rsidP="008369B6"/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en-US"/>
        </w:rPr>
      </w:pPr>
    </w:p>
    <w:p w:rsidR="00482E50" w:rsidRPr="00B66124" w:rsidRDefault="00482E50" w:rsidP="00482E50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482E50" w:rsidRDefault="00482E50" w:rsidP="00482E5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482E50" w:rsidRPr="001A6CDD" w:rsidRDefault="00482E50" w:rsidP="00482E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482E50" w:rsidRPr="00B66124" w:rsidRDefault="00482E50" w:rsidP="00482E50">
      <w:pPr>
        <w:pStyle w:val="ad"/>
        <w:numPr>
          <w:ilvl w:val="0"/>
          <w:numId w:val="36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482E50" w:rsidRPr="00B66124" w:rsidRDefault="00482E50" w:rsidP="00482E50">
      <w:pPr>
        <w:pStyle w:val="ad"/>
        <w:numPr>
          <w:ilvl w:val="0"/>
          <w:numId w:val="36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482E50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82E50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50" w:rsidRPr="00B66124" w:rsidRDefault="00482E50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50" w:rsidRPr="00B66124" w:rsidRDefault="00482E50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482E50" w:rsidRPr="00B66124" w:rsidRDefault="00482E50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482E50" w:rsidRPr="00B66124" w:rsidRDefault="00482E50" w:rsidP="00482E50">
      <w:pPr>
        <w:rPr>
          <w:sz w:val="28"/>
          <w:szCs w:val="28"/>
          <w:rtl/>
        </w:rPr>
      </w:pPr>
    </w:p>
    <w:p w:rsidR="00482E50" w:rsidRPr="00B66124" w:rsidRDefault="00482E50" w:rsidP="00482E50">
      <w:pPr>
        <w:pStyle w:val="ad"/>
        <w:numPr>
          <w:ilvl w:val="0"/>
          <w:numId w:val="37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482E50" w:rsidRPr="00B66124" w:rsidRDefault="00482E50" w:rsidP="00482E50">
      <w:pPr>
        <w:pStyle w:val="ad"/>
        <w:numPr>
          <w:ilvl w:val="0"/>
          <w:numId w:val="37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482E50" w:rsidRPr="00B66124" w:rsidRDefault="00482E50" w:rsidP="00482E50">
      <w:pPr>
        <w:pStyle w:val="ad"/>
        <w:numPr>
          <w:ilvl w:val="0"/>
          <w:numId w:val="38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482E50" w:rsidRPr="00B66124" w:rsidRDefault="00482E50" w:rsidP="00482E50">
      <w:pPr>
        <w:rPr>
          <w:sz w:val="32"/>
          <w:szCs w:val="32"/>
        </w:rPr>
      </w:pPr>
    </w:p>
    <w:p w:rsidR="00BB4D07" w:rsidRPr="00482E50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bookmarkStart w:id="1" w:name="_GoBack"/>
      <w:bookmarkEnd w:id="1"/>
    </w:p>
    <w:tbl>
      <w:tblPr>
        <w:tblStyle w:val="ac"/>
        <w:tblpPr w:leftFromText="180" w:rightFromText="180" w:vertAnchor="text" w:horzAnchor="page" w:tblpX="2060" w:tblpY="8800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482E50" w:rsidRPr="00E8014E" w:rsidTr="00482E50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82E50" w:rsidRPr="00E8014E" w:rsidTr="00482E50">
        <w:tc>
          <w:tcPr>
            <w:tcW w:w="878" w:type="dxa"/>
            <w:tcBorders>
              <w:top w:val="nil"/>
              <w:bottom w:val="nil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lastRenderedPageBreak/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482E50" w:rsidRPr="00E8014E" w:rsidRDefault="00482E50" w:rsidP="00482E50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82E50" w:rsidRPr="00E8014E" w:rsidTr="00482E50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82E50" w:rsidRPr="00E8014E" w:rsidTr="00482E50">
        <w:tc>
          <w:tcPr>
            <w:tcW w:w="878" w:type="dxa"/>
            <w:tcBorders>
              <w:top w:val="nil"/>
              <w:bottom w:val="nil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482E50" w:rsidRPr="00E8014E" w:rsidRDefault="00482E50" w:rsidP="00482E50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482E50" w:rsidRPr="00E8014E" w:rsidRDefault="00482E50" w:rsidP="00482E50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EB" w:rsidRDefault="00CF06EB">
      <w:r>
        <w:separator/>
      </w:r>
    </w:p>
  </w:endnote>
  <w:endnote w:type="continuationSeparator" w:id="0">
    <w:p w:rsidR="00CF06EB" w:rsidRDefault="00C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Pr="00E85FEB" w:rsidRDefault="00BB4379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B4379" w:rsidRDefault="00EA365C" w:rsidP="00A97885">
    <w:pPr>
      <w:pStyle w:val="a3"/>
      <w:bidi/>
      <w:jc w:val="right"/>
    </w:pPr>
    <w:r>
      <w:fldChar w:fldCharType="begin"/>
    </w:r>
    <w:r w:rsidR="00BB4379">
      <w:instrText xml:space="preserve"> PAGE   \* MERGEFORMAT </w:instrText>
    </w:r>
    <w:r>
      <w:fldChar w:fldCharType="separate"/>
    </w:r>
    <w:r w:rsidR="00BD1C91" w:rsidRPr="00BD1C91">
      <w:rPr>
        <w:noProof/>
        <w:rtl/>
        <w:lang w:val="ar-SA"/>
      </w:rPr>
      <w:t>13</w:t>
    </w:r>
    <w:r>
      <w:rPr>
        <w:noProof/>
        <w:lang w:val="ar-SA"/>
      </w:rPr>
      <w:fldChar w:fldCharType="end"/>
    </w:r>
  </w:p>
  <w:p w:rsidR="00BB4379" w:rsidRPr="0094487B" w:rsidRDefault="00BB4379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Pr="00BD314D" w:rsidRDefault="00BB4379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BB4379" w:rsidRDefault="00BB4379" w:rsidP="003A369E">
    <w:pPr>
      <w:pStyle w:val="a3"/>
      <w:bidi/>
    </w:pPr>
  </w:p>
  <w:p w:rsidR="00BB4379" w:rsidRDefault="00BB4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EB" w:rsidRDefault="00CF06EB">
      <w:r>
        <w:separator/>
      </w:r>
    </w:p>
  </w:footnote>
  <w:footnote w:type="continuationSeparator" w:id="0">
    <w:p w:rsidR="00CF06EB" w:rsidRDefault="00CF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9" w:rsidRDefault="00BB437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379" w:rsidRPr="00E9121F" w:rsidRDefault="00BB4379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F35"/>
    <w:multiLevelType w:val="hybridMultilevel"/>
    <w:tmpl w:val="4894DDD6"/>
    <w:lvl w:ilvl="0" w:tplc="F6024A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2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D091EC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80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EA2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282DE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26E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98B5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EA4690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797948"/>
    <w:multiLevelType w:val="hybridMultilevel"/>
    <w:tmpl w:val="0268CBF6"/>
    <w:lvl w:ilvl="0" w:tplc="A4D62A52">
      <w:start w:val="11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E1BFD"/>
    <w:multiLevelType w:val="hybridMultilevel"/>
    <w:tmpl w:val="1D6864CE"/>
    <w:lvl w:ilvl="0" w:tplc="1E840E9E">
      <w:start w:val="11"/>
      <w:numFmt w:val="decimal"/>
      <w:lvlText w:val="%1-"/>
      <w:lvlJc w:val="left"/>
      <w:pPr>
        <w:ind w:left="122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2B1960"/>
    <w:multiLevelType w:val="hybridMultilevel"/>
    <w:tmpl w:val="653C1CFE"/>
    <w:lvl w:ilvl="0" w:tplc="A07A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46C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AB04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25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A20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2A8DC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63A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EB5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7676DC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E726C0"/>
    <w:multiLevelType w:val="hybridMultilevel"/>
    <w:tmpl w:val="78DAE13C"/>
    <w:lvl w:ilvl="0" w:tplc="3DD8FF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9AFA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467A8">
      <w:start w:val="1"/>
      <w:numFmt w:val="lowerRoman"/>
      <w:lvlText w:val="%3."/>
      <w:lvlJc w:val="left"/>
      <w:pPr>
        <w:ind w:left="216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8D6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CC95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43D9C">
      <w:start w:val="1"/>
      <w:numFmt w:val="lowerRoman"/>
      <w:lvlText w:val="%6."/>
      <w:lvlJc w:val="left"/>
      <w:pPr>
        <w:ind w:left="432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C64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AA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C8246">
      <w:start w:val="1"/>
      <w:numFmt w:val="lowerRoman"/>
      <w:lvlText w:val="%9."/>
      <w:lvlJc w:val="left"/>
      <w:pPr>
        <w:ind w:left="648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6759D"/>
    <w:multiLevelType w:val="hybridMultilevel"/>
    <w:tmpl w:val="91F4CD68"/>
    <w:lvl w:ilvl="0" w:tplc="8E442C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46853"/>
    <w:multiLevelType w:val="hybridMultilevel"/>
    <w:tmpl w:val="1D70D660"/>
    <w:lvl w:ilvl="0" w:tplc="A9DA99A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E7F96">
      <w:start w:val="1"/>
      <w:numFmt w:val="decimal"/>
      <w:lvlText w:val="%2."/>
      <w:lvlJc w:val="left"/>
      <w:pPr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AFB42">
      <w:start w:val="1"/>
      <w:numFmt w:val="lowerRoman"/>
      <w:lvlText w:val="%3."/>
      <w:lvlJc w:val="left"/>
      <w:pPr>
        <w:ind w:left="116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8EA52C">
      <w:start w:val="1"/>
      <w:numFmt w:val="decimal"/>
      <w:lvlText w:val="%4."/>
      <w:lvlJc w:val="left"/>
      <w:pPr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6964C">
      <w:start w:val="1"/>
      <w:numFmt w:val="lowerLetter"/>
      <w:lvlText w:val="%5."/>
      <w:lvlJc w:val="left"/>
      <w:pPr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CC0D2">
      <w:start w:val="1"/>
      <w:numFmt w:val="lowerRoman"/>
      <w:lvlText w:val="%6."/>
      <w:lvlJc w:val="left"/>
      <w:pPr>
        <w:ind w:left="332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9A629E">
      <w:start w:val="1"/>
      <w:numFmt w:val="decimal"/>
      <w:lvlText w:val="%7."/>
      <w:lvlJc w:val="left"/>
      <w:pPr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E5FFC">
      <w:start w:val="1"/>
      <w:numFmt w:val="lowerLetter"/>
      <w:lvlText w:val="%8."/>
      <w:lvlJc w:val="left"/>
      <w:pPr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81BCC">
      <w:start w:val="1"/>
      <w:numFmt w:val="lowerRoman"/>
      <w:lvlText w:val="%9."/>
      <w:lvlJc w:val="left"/>
      <w:pPr>
        <w:ind w:left="548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CB4440"/>
    <w:multiLevelType w:val="hybridMultilevel"/>
    <w:tmpl w:val="345E75E0"/>
    <w:lvl w:ilvl="0" w:tplc="B218B5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6DA4A">
      <w:start w:val="1"/>
      <w:numFmt w:val="decimal"/>
      <w:lvlText w:val="%2."/>
      <w:lvlJc w:val="left"/>
      <w:pPr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C6A6A">
      <w:start w:val="1"/>
      <w:numFmt w:val="lowerRoman"/>
      <w:lvlText w:val="%3."/>
      <w:lvlJc w:val="left"/>
      <w:pPr>
        <w:ind w:left="116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7B0">
      <w:start w:val="1"/>
      <w:numFmt w:val="decimal"/>
      <w:lvlText w:val="%4."/>
      <w:lvlJc w:val="left"/>
      <w:pPr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52186E">
      <w:start w:val="1"/>
      <w:numFmt w:val="lowerLetter"/>
      <w:lvlText w:val="%5."/>
      <w:lvlJc w:val="left"/>
      <w:pPr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1644CA">
      <w:start w:val="1"/>
      <w:numFmt w:val="lowerRoman"/>
      <w:lvlText w:val="%6."/>
      <w:lvlJc w:val="left"/>
      <w:pPr>
        <w:ind w:left="332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04D56">
      <w:start w:val="1"/>
      <w:numFmt w:val="decimal"/>
      <w:lvlText w:val="%7."/>
      <w:lvlJc w:val="left"/>
      <w:pPr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0B9FC">
      <w:start w:val="1"/>
      <w:numFmt w:val="lowerLetter"/>
      <w:lvlText w:val="%8."/>
      <w:lvlJc w:val="left"/>
      <w:pPr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438C0">
      <w:start w:val="1"/>
      <w:numFmt w:val="lowerRoman"/>
      <w:lvlText w:val="%9."/>
      <w:lvlJc w:val="left"/>
      <w:pPr>
        <w:ind w:left="5487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5"/>
  </w:num>
  <w:num w:numId="5">
    <w:abstractNumId w:val="22"/>
  </w:num>
  <w:num w:numId="6">
    <w:abstractNumId w:val="4"/>
  </w:num>
  <w:num w:numId="7">
    <w:abstractNumId w:val="19"/>
  </w:num>
  <w:num w:numId="8">
    <w:abstractNumId w:val="13"/>
  </w:num>
  <w:num w:numId="9">
    <w:abstractNumId w:val="6"/>
  </w:num>
  <w:num w:numId="10">
    <w:abstractNumId w:val="28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7"/>
  </w:num>
  <w:num w:numId="16">
    <w:abstractNumId w:val="27"/>
  </w:num>
  <w:num w:numId="17">
    <w:abstractNumId w:val="30"/>
  </w:num>
  <w:num w:numId="18">
    <w:abstractNumId w:val="10"/>
  </w:num>
  <w:num w:numId="19">
    <w:abstractNumId w:val="24"/>
  </w:num>
  <w:num w:numId="20">
    <w:abstractNumId w:val="1"/>
  </w:num>
  <w:num w:numId="21">
    <w:abstractNumId w:val="17"/>
  </w:num>
  <w:num w:numId="22">
    <w:abstractNumId w:val="18"/>
  </w:num>
  <w:num w:numId="23">
    <w:abstractNumId w:val="12"/>
  </w:num>
  <w:num w:numId="24">
    <w:abstractNumId w:val="29"/>
  </w:num>
  <w:num w:numId="25">
    <w:abstractNumId w:val="20"/>
  </w:num>
  <w:num w:numId="26">
    <w:abstractNumId w:val="20"/>
    <w:lvlOverride w:ilvl="0">
      <w:lvl w:ilvl="0" w:tplc="A07ADC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46C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8AB04">
        <w:start w:val="1"/>
        <w:numFmt w:val="lowerRoman"/>
        <w:lvlText w:val="%3."/>
        <w:lvlJc w:val="left"/>
        <w:pPr>
          <w:ind w:left="216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25D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A202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2A8DC">
        <w:start w:val="1"/>
        <w:numFmt w:val="lowerRoman"/>
        <w:lvlText w:val="%6."/>
        <w:lvlJc w:val="left"/>
        <w:pPr>
          <w:ind w:left="432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563A6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4EB55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7676DC">
        <w:start w:val="1"/>
        <w:numFmt w:val="lowerRoman"/>
        <w:lvlText w:val="%9."/>
        <w:lvlJc w:val="left"/>
        <w:pPr>
          <w:ind w:left="648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</w:num>
  <w:num w:numId="28">
    <w:abstractNumId w:val="21"/>
    <w:lvlOverride w:ilvl="0">
      <w:startOverride w:val="11"/>
    </w:lvlOverride>
  </w:num>
  <w:num w:numId="29">
    <w:abstractNumId w:val="2"/>
  </w:num>
  <w:num w:numId="30">
    <w:abstractNumId w:val="16"/>
  </w:num>
  <w:num w:numId="31">
    <w:abstractNumId w:val="26"/>
  </w:num>
  <w:num w:numId="32">
    <w:abstractNumId w:val="32"/>
  </w:num>
  <w:num w:numId="33">
    <w:abstractNumId w:val="32"/>
    <w:lvlOverride w:ilvl="0">
      <w:startOverride w:val="2"/>
    </w:lvlOverride>
  </w:num>
  <w:num w:numId="34">
    <w:abstractNumId w:val="33"/>
  </w:num>
  <w:num w:numId="35">
    <w:abstractNumId w:val="33"/>
    <w:lvlOverride w:ilvl="0">
      <w:startOverride w:val="5"/>
    </w:lvlOverride>
  </w:num>
  <w:num w:numId="36">
    <w:abstractNumId w:val="8"/>
  </w:num>
  <w:num w:numId="37">
    <w:abstractNumId w:val="25"/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3AF8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F4A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4D80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378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509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BF8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9F9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5F5C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005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4A1E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2E50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1322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9C7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3CBE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54A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39C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4D8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074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A7B77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E0E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2C53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ADB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369B6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2A88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104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77FD5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29C9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316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03C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BA2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770"/>
    <w:rsid w:val="00B85B75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379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C91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BD5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6EB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3962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73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13B1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412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0F95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65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39D0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87743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A7EE7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482E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FE8E-2EFD-4B04-8085-DC39667E92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8E8082-7023-46C2-999D-56074734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2191</Words>
  <Characters>12494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3</cp:revision>
  <cp:lastPrinted>2016-01-19T12:24:00Z</cp:lastPrinted>
  <dcterms:created xsi:type="dcterms:W3CDTF">2018-03-25T10:38:00Z</dcterms:created>
  <dcterms:modified xsi:type="dcterms:W3CDTF">2019-03-06T18:18:00Z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