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F218A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218A8" w:rsidRPr="00F218A8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</w:rPr>
        <w:t>فقه خطة قديمة ( أصول الدين )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F218A8" w:rsidRPr="00F218A8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  <w:lang w:bidi="ar-EG"/>
        </w:rPr>
        <w:t>فقه 151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2968A6" w:rsidRDefault="009E7AC8" w:rsidP="002968A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CF2D5D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r w:rsidR="00CF2D5D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151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B4D07" w:rsidRPr="00E8014E" w:rsidRDefault="00B82FD8" w:rsidP="005F0AC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مدينة الملك عبدالله للطالبات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××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DC780C">
        <w:tblPrEx>
          <w:tblLook w:val="01E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3B658A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3B658A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3B658A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3B658A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</w:tr>
      <w:tr w:rsidR="00E14468" w:rsidRPr="00E8014E" w:rsidTr="006F6CB9">
        <w:tblPrEx>
          <w:tblLook w:val="01E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5"/>
        <w:gridCol w:w="1047"/>
        <w:gridCol w:w="1015"/>
        <w:gridCol w:w="2443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E14468" w:rsidRPr="00A353F1" w:rsidRDefault="00A353F1" w:rsidP="00A353F1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الأصل في العقود والشروط .</w:t>
            </w:r>
          </w:p>
        </w:tc>
        <w:tc>
          <w:tcPr>
            <w:tcW w:w="1119" w:type="dxa"/>
            <w:vAlign w:val="center"/>
          </w:tcPr>
          <w:p w:rsidR="00E14468" w:rsidRPr="00E8014E" w:rsidRDefault="00C36E95" w:rsidP="00E8014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087" w:type="dxa"/>
          </w:tcPr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5F0ACC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ب-وإذا لم تعط المحاضرة كما هو محدد بحيث نقص العدد كما هو مخطط يكتب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العدد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5F0ACC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 سبب اختلاف ساعات التتدريس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1E3701" w:rsidRPr="001E3701" w:rsidRDefault="001E3701" w:rsidP="001E3701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E370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البيع</w:t>
            </w:r>
            <w:r w:rsidRPr="001E370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1E370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تعريفه،أركانه،شروطصحته،الشروطفيالبيع،</w:t>
            </w:r>
          </w:p>
          <w:p w:rsidR="001E3701" w:rsidRPr="001E3701" w:rsidRDefault="001E3701" w:rsidP="001E3701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E370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القبض</w:t>
            </w:r>
            <w:r w:rsidR="00C36E9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.</w:t>
            </w:r>
          </w:p>
          <w:p w:rsidR="00E14468" w:rsidRPr="00657B44" w:rsidRDefault="00E14468" w:rsidP="001E3701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8C53C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635692" w:rsidRPr="00635692" w:rsidRDefault="00635692" w:rsidP="00635692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569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الرباوالصرف</w:t>
            </w:r>
            <w:r w:rsidRPr="0063569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63569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تعريفالربا،حكمه،أنواعه،علةالربا،</w:t>
            </w:r>
            <w:r w:rsidRPr="0063569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BF7655" w:rsidRDefault="00F24600" w:rsidP="00F24600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2460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نبذةعنبعضالمعاملاتالمصرفيةالشائعة</w:t>
            </w:r>
            <w:r w:rsidRPr="00F2460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(</w:t>
            </w:r>
            <w:r w:rsidRPr="00F2460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الحسابالجاري،الودائعالآجلة،التورقالمصرف</w:t>
            </w:r>
            <w:r w:rsidRPr="00F2460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ي)</w:t>
            </w:r>
          </w:p>
        </w:tc>
        <w:tc>
          <w:tcPr>
            <w:tcW w:w="1119" w:type="dxa"/>
            <w:vAlign w:val="center"/>
          </w:tcPr>
          <w:p w:rsidR="00E14468" w:rsidRPr="00E8014E" w:rsidRDefault="008C53C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0916D6" w:rsidRPr="00DC1BC3" w:rsidRDefault="000916D6" w:rsidP="00DC1BC3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0916D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السلم</w:t>
            </w:r>
            <w:r w:rsidRPr="000916D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0916D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تعريفه،شروطصحته</w:t>
            </w:r>
            <w:r w:rsidR="00DC1BC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.</w:t>
            </w:r>
          </w:p>
          <w:p w:rsidR="00E14468" w:rsidRPr="00E14468" w:rsidRDefault="000916D6" w:rsidP="000916D6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0916D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القرض</w:t>
            </w:r>
            <w:r w:rsidRPr="000916D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0916D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تعريفه،حكمه،مايصحقرضهومالايصح،القرضإذا جرنفعا،ضوابطالمنفعةفيالقرض</w:t>
            </w:r>
          </w:p>
        </w:tc>
        <w:tc>
          <w:tcPr>
            <w:tcW w:w="1119" w:type="dxa"/>
            <w:vAlign w:val="center"/>
          </w:tcPr>
          <w:p w:rsidR="00E14468" w:rsidRPr="00E8014E" w:rsidRDefault="00DC1BC3" w:rsidP="002C5F4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087" w:type="dxa"/>
          </w:tcPr>
          <w:p w:rsidR="00E14468" w:rsidRPr="006A6F6C" w:rsidRDefault="00E14468" w:rsidP="002C5F41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2C5F41">
            <w:pPr>
              <w:bidi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716F08" w:rsidRPr="00716F08" w:rsidRDefault="00716F08" w:rsidP="00716F08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الرهن: تعريفه، حكمه، شروطه، التصرف فيه، </w:t>
            </w: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E14468" w:rsidRPr="00E14468" w:rsidRDefault="00716F08" w:rsidP="00716F0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الضمان: تعريفه، حكمه، شروطه، أخذ العوض عليه، </w:t>
            </w:r>
          </w:p>
        </w:tc>
        <w:tc>
          <w:tcPr>
            <w:tcW w:w="1119" w:type="dxa"/>
            <w:vAlign w:val="center"/>
          </w:tcPr>
          <w:p w:rsidR="00E14468" w:rsidRPr="00E8014E" w:rsidRDefault="00DC1BC3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716F08" w:rsidRPr="00716F08" w:rsidRDefault="00716F08" w:rsidP="00716F0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الكفالة</w:t>
            </w: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تعريفها،حكمها،ماتصحفي</w:t>
            </w:r>
            <w:r w:rsidR="00DC1BC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ه</w:t>
            </w: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7E180E" w:rsidRPr="00DC1BC3" w:rsidRDefault="00716F08" w:rsidP="00716F0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الحوالة</w:t>
            </w: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تعريفها،،شروطها،أثرها</w:t>
            </w:r>
            <w:r w:rsidR="00DC1BC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7E180E" w:rsidRDefault="00E14468" w:rsidP="00E1446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F518EB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3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  <w:p w:rsidR="00716F08" w:rsidRPr="00716F08" w:rsidRDefault="00716F08" w:rsidP="00716F0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الوكالة</w:t>
            </w: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تعريفها،حكمها،ماتصحفيهومالاتصح،مبطلاتها</w:t>
            </w: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E14468" w:rsidRPr="00134897" w:rsidRDefault="00716F08" w:rsidP="00716F0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الإجارة</w:t>
            </w: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تعريفهاوبيانأقسامها،حكمها،شروطصحتها،الإجارة</w:t>
            </w:r>
            <w:r w:rsidR="00386181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على الطاعات .</w:t>
            </w:r>
          </w:p>
        </w:tc>
        <w:tc>
          <w:tcPr>
            <w:tcW w:w="1119" w:type="dxa"/>
            <w:vAlign w:val="center"/>
          </w:tcPr>
          <w:p w:rsidR="00E14468" w:rsidRPr="00E8014E" w:rsidRDefault="00514662" w:rsidP="00302EE1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C16AC" w:rsidRPr="00E8014E" w:rsidTr="00A633B5">
        <w:tc>
          <w:tcPr>
            <w:tcW w:w="4308" w:type="dxa"/>
          </w:tcPr>
          <w:p w:rsidR="0054692B" w:rsidRPr="0054692B" w:rsidRDefault="0054692B" w:rsidP="0054692B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54692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الغصب: تعريفه، حكمه، ما يترتب عليه من الضمان</w:t>
            </w:r>
            <w:r w:rsidRPr="0054692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CC16AC" w:rsidRPr="00CC16AC" w:rsidRDefault="0054692B" w:rsidP="0054692B">
            <w:pPr>
              <w:pStyle w:val="ad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4692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الشفعة: تعريفها، حكمها، شروطها، مسقطاتها.</w:t>
            </w:r>
          </w:p>
        </w:tc>
        <w:tc>
          <w:tcPr>
            <w:tcW w:w="1119" w:type="dxa"/>
            <w:vAlign w:val="center"/>
          </w:tcPr>
          <w:p w:rsidR="00CC16AC" w:rsidRDefault="00514662" w:rsidP="00CC16AC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087" w:type="dxa"/>
          </w:tcPr>
          <w:p w:rsidR="00CC16AC" w:rsidRPr="00CC16AC" w:rsidRDefault="00CC16AC" w:rsidP="00CC16AC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  <w:tc>
          <w:tcPr>
            <w:tcW w:w="2846" w:type="dxa"/>
          </w:tcPr>
          <w:p w:rsidR="00CC16AC" w:rsidRPr="006A6F6C" w:rsidRDefault="00CC16AC" w:rsidP="00CC16AC">
            <w:pPr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CC16AC" w:rsidRPr="00E8014E" w:rsidTr="005B74CF">
        <w:tc>
          <w:tcPr>
            <w:tcW w:w="4308" w:type="dxa"/>
            <w:vAlign w:val="center"/>
          </w:tcPr>
          <w:p w:rsidR="0085427B" w:rsidRPr="0085427B" w:rsidRDefault="0085427B" w:rsidP="0085427B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85427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الوقف</w:t>
            </w:r>
            <w:r w:rsidRPr="0085427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85427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تعريفه،حكمه،شروطصحته،شروطالواقف،</w:t>
            </w:r>
            <w:r w:rsidR="00B3240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>النصرف فيه</w:t>
            </w:r>
            <w:r w:rsidRPr="0085427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85427B" w:rsidRPr="0085427B" w:rsidRDefault="0085427B" w:rsidP="0085427B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85427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الهبة</w:t>
            </w:r>
            <w:r w:rsidRPr="0085427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85427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تعريفها،حكمها،شروطصحتها،الرجوعفيها،التعديلفيعطيةالأولاد</w:t>
            </w:r>
            <w:r w:rsidRPr="0085427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CC16AC" w:rsidRPr="003450CA" w:rsidRDefault="0085427B" w:rsidP="0085427B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5427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الوصية</w:t>
            </w:r>
            <w:r w:rsidRPr="0085427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85427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تعريفها،حكمها،شروطصحتها</w:t>
            </w:r>
            <w:r w:rsidR="003450C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1119" w:type="dxa"/>
            <w:vAlign w:val="center"/>
          </w:tcPr>
          <w:p w:rsidR="00CC16AC" w:rsidRDefault="003450CA" w:rsidP="00CC16AC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087" w:type="dxa"/>
          </w:tcPr>
          <w:p w:rsidR="00CC16AC" w:rsidRPr="00CC16AC" w:rsidRDefault="00CC16AC" w:rsidP="00CC16AC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  <w:tc>
          <w:tcPr>
            <w:tcW w:w="2846" w:type="dxa"/>
          </w:tcPr>
          <w:p w:rsidR="00CC16AC" w:rsidRPr="00252850" w:rsidRDefault="00CC16AC" w:rsidP="00CC16AC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</w:tr>
      <w:tr w:rsidR="00252850" w:rsidRPr="00E8014E" w:rsidTr="005B74CF">
        <w:tc>
          <w:tcPr>
            <w:tcW w:w="4308" w:type="dxa"/>
            <w:vAlign w:val="center"/>
          </w:tcPr>
          <w:p w:rsidR="00252850" w:rsidRPr="00252850" w:rsidRDefault="00252850" w:rsidP="00252850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528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النكاح: حكمه، أركان النكاح، شروط النكاح، المحرمات في النكاح، الشروط في النكاح، نكاح الكافر. الصداق: حكمه، مقداره.</w:t>
            </w:r>
          </w:p>
          <w:p w:rsidR="00252850" w:rsidRPr="00252850" w:rsidRDefault="00252850" w:rsidP="00252850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528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وليمة العرس، العشرة الزوجية، النشوز.</w:t>
            </w:r>
          </w:p>
          <w:p w:rsidR="00252850" w:rsidRPr="00252850" w:rsidRDefault="00252850" w:rsidP="00252850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528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الصداق: حكمه، مقداره.</w:t>
            </w:r>
          </w:p>
          <w:p w:rsidR="00252850" w:rsidRDefault="00252850" w:rsidP="00252850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528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وليمة العرس، العشرة الزوجية، النشوز.</w:t>
            </w:r>
          </w:p>
        </w:tc>
        <w:tc>
          <w:tcPr>
            <w:tcW w:w="1119" w:type="dxa"/>
            <w:vAlign w:val="center"/>
          </w:tcPr>
          <w:p w:rsidR="00252850" w:rsidRDefault="00252850" w:rsidP="00CC16AC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12</w:t>
            </w:r>
          </w:p>
        </w:tc>
        <w:tc>
          <w:tcPr>
            <w:tcW w:w="1087" w:type="dxa"/>
          </w:tcPr>
          <w:p w:rsidR="00252850" w:rsidRPr="00CC16AC" w:rsidRDefault="00252850" w:rsidP="00CC16AC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  <w:tc>
          <w:tcPr>
            <w:tcW w:w="2846" w:type="dxa"/>
          </w:tcPr>
          <w:p w:rsidR="00252850" w:rsidRPr="00252850" w:rsidRDefault="00252850" w:rsidP="00CC16AC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5018"/>
        <w:gridCol w:w="2030"/>
        <w:gridCol w:w="1626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  <w:vAlign w:val="center"/>
          </w:tcPr>
          <w:p w:rsidR="00E14468" w:rsidRPr="00134897" w:rsidRDefault="006C6FE5" w:rsidP="006C6FE5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6C6FE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أنيعرفالطالبأنالأصلفيعقودالمعاملاتالماليةالحلوالإباحة،ويميزمايحلومايحرمفي المعاوضاتوالبيوع</w:t>
            </w:r>
            <w:r w:rsidRPr="006C6FE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</w:tc>
        <w:tc>
          <w:tcPr>
            <w:tcW w:w="2896" w:type="dxa"/>
            <w:vMerge w:val="restart"/>
            <w:vAlign w:val="center"/>
          </w:tcPr>
          <w:p w:rsidR="00403F10" w:rsidRPr="00E8014E" w:rsidRDefault="00403F10" w:rsidP="00403F10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403F10" w:rsidRPr="00E8014E" w:rsidRDefault="00403F10" w:rsidP="00403F10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403F10" w:rsidRPr="00E8014E" w:rsidRDefault="00403F10" w:rsidP="00403F10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ملخص القراءة الخارجية .</w:t>
            </w:r>
          </w:p>
          <w:p w:rsidR="00403F10" w:rsidRPr="00E8014E" w:rsidRDefault="00403F10" w:rsidP="00403F10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</w:p>
          <w:p w:rsidR="00403F10" w:rsidRPr="00E8014E" w:rsidRDefault="00403F10" w:rsidP="00403F10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403F10" w:rsidRPr="00E8014E" w:rsidRDefault="00403F10" w:rsidP="00403F10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403F10" w:rsidRPr="00E8014E" w:rsidRDefault="00403F10" w:rsidP="00403F10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403F10" w:rsidRPr="00E8014E" w:rsidRDefault="00403F10" w:rsidP="00403F10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الصفية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</w:p>
          <w:p w:rsidR="0075778E" w:rsidRPr="0075778E" w:rsidRDefault="00403F10" w:rsidP="00403F10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</w:tr>
      <w:tr w:rsidR="00537165" w:rsidRPr="00E8014E" w:rsidTr="000971B4">
        <w:trPr>
          <w:trHeight w:val="140"/>
        </w:trPr>
        <w:tc>
          <w:tcPr>
            <w:tcW w:w="686" w:type="dxa"/>
          </w:tcPr>
          <w:p w:rsidR="00537165" w:rsidRPr="00857BFF" w:rsidRDefault="00537165" w:rsidP="0053716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65" w:rsidRPr="000971B4" w:rsidRDefault="000971B4" w:rsidP="009A0A79">
            <w:pPr>
              <w:pStyle w:val="a9"/>
              <w:ind w:left="0"/>
              <w:rPr>
                <w:rFonts w:ascii="Traditional Arabic" w:eastAsia="Times New Roman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0971B4">
              <w:rPr>
                <w:rFonts w:ascii="Traditional Arabic" w:eastAsia="Times New Roman" w:hAnsi="Traditional Arabic" w:cs="Traditional Arabic"/>
                <w:color w:val="4F81BD" w:themeColor="accent1"/>
                <w:sz w:val="28"/>
                <w:szCs w:val="28"/>
                <w:rtl/>
              </w:rPr>
              <w:t>أ</w:t>
            </w:r>
            <w:r w:rsidR="009A0A79">
              <w:rPr>
                <w:rFonts w:ascii="Traditional Arabic" w:eastAsia="Times New Roman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ن يكون الطالب قادرا على </w:t>
            </w:r>
            <w:r w:rsidR="009A0A79">
              <w:rPr>
                <w:rFonts w:ascii="Traditional Arabic" w:eastAsia="Times New Roman" w:hAnsi="Traditional Arabic" w:cs="Traditional Arabic" w:hint="cs"/>
                <w:color w:val="4F81BD" w:themeColor="accent1"/>
                <w:sz w:val="28"/>
                <w:szCs w:val="28"/>
                <w:rtl/>
                <w:lang w:val="en-AU"/>
              </w:rPr>
              <w:t>توضيح</w:t>
            </w:r>
            <w:r w:rsidRPr="000971B4">
              <w:rPr>
                <w:rFonts w:ascii="Traditional Arabic" w:eastAsia="Times New Roman" w:hAnsi="Traditional Arabic" w:cs="Traditional Arabic"/>
                <w:color w:val="4F81BD" w:themeColor="accent1"/>
                <w:sz w:val="28"/>
                <w:szCs w:val="28"/>
                <w:rtl/>
              </w:rPr>
              <w:t>أحكامالربا،والسلم،والقرض</w:t>
            </w:r>
            <w:r w:rsidRPr="000971B4">
              <w:rPr>
                <w:rFonts w:ascii="Traditional Arabic" w:eastAsia="Times New Roman" w:hAnsi="Traditional Arabic" w:cs="Traditional Arabic"/>
                <w:color w:val="4F81BD" w:themeColor="accent1"/>
                <w:sz w:val="28"/>
                <w:szCs w:val="28"/>
                <w:lang w:val="en-AU"/>
              </w:rPr>
              <w:t>.</w:t>
            </w:r>
          </w:p>
        </w:tc>
        <w:tc>
          <w:tcPr>
            <w:tcW w:w="2896" w:type="dxa"/>
            <w:vMerge/>
          </w:tcPr>
          <w:p w:rsidR="00537165" w:rsidRPr="00E8014E" w:rsidRDefault="00537165" w:rsidP="0053716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537165" w:rsidRDefault="00537165" w:rsidP="00537165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10ED4" w:rsidRPr="00E8014E" w:rsidTr="000971B4">
        <w:tc>
          <w:tcPr>
            <w:tcW w:w="686" w:type="dxa"/>
          </w:tcPr>
          <w:p w:rsidR="00610ED4" w:rsidRPr="00857BFF" w:rsidRDefault="00610ED4" w:rsidP="00610ED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D4" w:rsidRPr="00FA4E50" w:rsidRDefault="00610ED4" w:rsidP="007A1991">
            <w:pPr>
              <w:pStyle w:val="a9"/>
              <w:ind w:left="0"/>
              <w:rPr>
                <w:rFonts w:ascii="Traditional Arabic" w:eastAsia="Times New Roman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610ED4">
              <w:rPr>
                <w:rFonts w:ascii="Traditional Arabic" w:eastAsia="Times New Roman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 على توضيح </w:t>
            </w:r>
            <w:bookmarkStart w:id="0" w:name="LastPosition"/>
            <w:bookmarkStart w:id="1" w:name="_GoBack"/>
            <w:bookmarkEnd w:id="0"/>
            <w:bookmarkEnd w:id="1"/>
            <w:r w:rsidR="007A1991" w:rsidRPr="007A1991">
              <w:rPr>
                <w:rFonts w:ascii="Traditional Arabic" w:eastAsia="Times New Roman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فقه عقود التبرعات من خلال عقود الوقف والهبة والوصية.</w:t>
            </w:r>
          </w:p>
        </w:tc>
        <w:tc>
          <w:tcPr>
            <w:tcW w:w="2896" w:type="dxa"/>
            <w:vMerge/>
          </w:tcPr>
          <w:p w:rsidR="00610ED4" w:rsidRPr="00E8014E" w:rsidRDefault="00610ED4" w:rsidP="00610ED4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610ED4" w:rsidRDefault="00610ED4" w:rsidP="00610ED4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0971B4">
        <w:tc>
          <w:tcPr>
            <w:tcW w:w="68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</w:tcPr>
          <w:p w:rsidR="00FA4E50" w:rsidRPr="00DA5816" w:rsidRDefault="00FA4E50" w:rsidP="00DA5816">
            <w:pPr>
              <w:pStyle w:val="a9"/>
              <w:ind w:left="0"/>
              <w:rPr>
                <w:rFonts w:ascii="Traditional Arabic" w:eastAsia="Times New Roman" w:hAnsi="Traditional Arabic" w:cs="Traditional Arabic"/>
                <w:color w:val="4F81BD" w:themeColor="accent1"/>
                <w:sz w:val="28"/>
                <w:szCs w:val="28"/>
                <w:rtl/>
                <w:lang w:val="en-AU"/>
              </w:rPr>
            </w:pPr>
            <w:r w:rsidRPr="00FA4E50">
              <w:rPr>
                <w:rFonts w:ascii="Traditional Arabic" w:eastAsia="Times New Roman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 على توضيح جملة من النوازل في ال</w:t>
            </w:r>
            <w:r w:rsidRPr="00FA4E50">
              <w:rPr>
                <w:rFonts w:ascii="Traditional Arabic" w:eastAsia="Times New Roman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معاملات </w:t>
            </w:r>
            <w:r w:rsidRPr="00FA4E50">
              <w:rPr>
                <w:rFonts w:ascii="Traditional Arabic" w:eastAsia="Times New Roman" w:hAnsi="Traditional Arabic" w:cs="Traditional Arabic"/>
                <w:color w:val="4F81BD" w:themeColor="accent1"/>
                <w:sz w:val="28"/>
                <w:szCs w:val="28"/>
                <w:rtl/>
              </w:rPr>
              <w:t>,</w:t>
            </w:r>
            <w:r w:rsidR="00DA5816" w:rsidRPr="00DA5816">
              <w:rPr>
                <w:rFonts w:ascii="Traditional Arabic" w:eastAsia="Times New Roman" w:hAnsi="Traditional Arabic" w:cs="Traditional Arabic"/>
                <w:color w:val="4F81BD" w:themeColor="accent1"/>
                <w:sz w:val="28"/>
                <w:szCs w:val="28"/>
                <w:rtl/>
              </w:rPr>
              <w:t>عقودالتوثيقات،وعقودالتبرعاتوصورهاالمعاصرة</w:t>
            </w:r>
            <w:r w:rsidR="00DA5816">
              <w:rPr>
                <w:rFonts w:ascii="Traditional Arabic" w:eastAsia="Times New Roman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2</w:t>
            </w:r>
          </w:p>
        </w:tc>
        <w:tc>
          <w:tcPr>
            <w:tcW w:w="8674" w:type="dxa"/>
            <w:gridSpan w:val="3"/>
          </w:tcPr>
          <w:p w:rsidR="00FA4E50" w:rsidRPr="00857BFF" w:rsidRDefault="00FA4E50" w:rsidP="00FA4E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FA4E50" w:rsidRPr="00E8014E" w:rsidTr="00E14468">
        <w:tc>
          <w:tcPr>
            <w:tcW w:w="68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FA4E50" w:rsidRPr="00E8014E" w:rsidRDefault="00FA4E50" w:rsidP="00FA4E50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تحليل النصوص الفقهية.</w:t>
            </w:r>
          </w:p>
        </w:tc>
        <w:tc>
          <w:tcPr>
            <w:tcW w:w="2896" w:type="dxa"/>
            <w:vMerge w:val="restart"/>
            <w:vAlign w:val="center"/>
          </w:tcPr>
          <w:p w:rsidR="00403F10" w:rsidRPr="00E8014E" w:rsidRDefault="00403F10" w:rsidP="00403F10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36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403F10" w:rsidRPr="00E8014E" w:rsidRDefault="00403F10" w:rsidP="00403F10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</w:p>
          <w:p w:rsidR="00403F10" w:rsidRPr="00E8014E" w:rsidRDefault="00403F10" w:rsidP="00403F10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تقرير عن ندوات وحلقات نقاش .</w:t>
            </w:r>
          </w:p>
          <w:p w:rsidR="00403F10" w:rsidRPr="00E8014E" w:rsidRDefault="00403F10" w:rsidP="00403F10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البحوث العلمية .</w:t>
            </w:r>
          </w:p>
          <w:p w:rsidR="00403F10" w:rsidRPr="00E8014E" w:rsidRDefault="00403F10" w:rsidP="00403F10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المناقشات الصفية .</w:t>
            </w:r>
          </w:p>
          <w:p w:rsidR="00403F10" w:rsidRPr="00E8014E" w:rsidRDefault="00403F10" w:rsidP="00403F10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243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الطلاب أثناء المناقشات</w:t>
            </w:r>
          </w:p>
          <w:p w:rsidR="00403F10" w:rsidRPr="00E8014E" w:rsidRDefault="00403F10" w:rsidP="00403F10">
            <w:pPr>
              <w:pStyle w:val="ad"/>
              <w:pBdr>
                <w:bar w:val="nil"/>
              </w:pBdr>
              <w:tabs>
                <w:tab w:val="left" w:pos="243"/>
              </w:tabs>
              <w:bidi/>
              <w:ind w:left="5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  <w:p w:rsidR="00403F10" w:rsidRPr="00E8014E" w:rsidRDefault="00403F10" w:rsidP="00403F10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التمارين المنزلية .</w:t>
            </w:r>
          </w:p>
          <w:p w:rsidR="00FA4E50" w:rsidRPr="00E8014E" w:rsidRDefault="00403F10" w:rsidP="00403F10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  <w:vAlign w:val="center"/>
          </w:tcPr>
          <w:p w:rsidR="00FA4E50" w:rsidRPr="00E8014E" w:rsidRDefault="00FA4E50" w:rsidP="00FA4E50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FA4E50" w:rsidRPr="00E8014E" w:rsidTr="00E14468">
        <w:tc>
          <w:tcPr>
            <w:tcW w:w="68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FA4E50" w:rsidRPr="00E8014E" w:rsidRDefault="00FA4E50" w:rsidP="00FA4E50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96" w:type="dxa"/>
            <w:vMerge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FA4E50" w:rsidRPr="00E8014E" w:rsidRDefault="00FA4E50" w:rsidP="00FA4E50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إظهار التعامل الحسن مع الخلاف وأنواعه .</w:t>
            </w:r>
          </w:p>
        </w:tc>
        <w:tc>
          <w:tcPr>
            <w:tcW w:w="2896" w:type="dxa"/>
            <w:vMerge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91" w:type="dxa"/>
          </w:tcPr>
          <w:p w:rsidR="00FA4E50" w:rsidRPr="00E8014E" w:rsidRDefault="00FA4E50" w:rsidP="00FA4E50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استنباط سبب الخلاف وثمرته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2896" w:type="dxa"/>
            <w:vMerge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91" w:type="dxa"/>
          </w:tcPr>
          <w:p w:rsidR="00FA4E50" w:rsidRPr="00E8014E" w:rsidRDefault="00FA4E50" w:rsidP="00FA4E50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 على تنزيل المسائل على الواقع بعد تصورها.</w:t>
            </w:r>
          </w:p>
        </w:tc>
        <w:tc>
          <w:tcPr>
            <w:tcW w:w="2896" w:type="dxa"/>
            <w:vMerge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91" w:type="dxa"/>
            <w:vAlign w:val="center"/>
          </w:tcPr>
          <w:p w:rsidR="00FA4E50" w:rsidRPr="00134897" w:rsidRDefault="00FA4E50" w:rsidP="00FA4E50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الموازنة بين الأقوال والأدلة.</w:t>
            </w:r>
          </w:p>
        </w:tc>
        <w:tc>
          <w:tcPr>
            <w:tcW w:w="2896" w:type="dxa"/>
            <w:vMerge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مهارة البحث العلمي وترتيب المعلومات من المصادر المختلفة.</w:t>
            </w:r>
          </w:p>
        </w:tc>
        <w:tc>
          <w:tcPr>
            <w:tcW w:w="2896" w:type="dxa"/>
            <w:vMerge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إدراك الفروق الفقهية بين المسائل المتشابهة.</w:t>
            </w:r>
          </w:p>
        </w:tc>
        <w:tc>
          <w:tcPr>
            <w:tcW w:w="2896" w:type="dxa"/>
            <w:vMerge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91" w:type="dxa"/>
            <w:vAlign w:val="center"/>
          </w:tcPr>
          <w:p w:rsidR="00FA4E50" w:rsidRPr="00134897" w:rsidRDefault="00FA4E50" w:rsidP="00FA4E50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استنباط الأحكام من النصوص الشرعية</w:t>
            </w:r>
          </w:p>
        </w:tc>
        <w:tc>
          <w:tcPr>
            <w:tcW w:w="2896" w:type="dxa"/>
            <w:vMerge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91" w:type="dxa"/>
            <w:vAlign w:val="center"/>
          </w:tcPr>
          <w:p w:rsidR="00FA4E50" w:rsidRPr="00134897" w:rsidRDefault="00FA4E50" w:rsidP="00FA4E50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القواعد والأصول على فروع المسائل القديمة والمسائل المستجدة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</w:p>
        </w:tc>
        <w:tc>
          <w:tcPr>
            <w:tcW w:w="2896" w:type="dxa"/>
            <w:vMerge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91" w:type="dxa"/>
            <w:vAlign w:val="center"/>
          </w:tcPr>
          <w:p w:rsidR="00FA4E50" w:rsidRPr="00134897" w:rsidRDefault="00FA4E50" w:rsidP="00FA4E50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82A9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صياغة الأحكام والأقوال صياغة الفقهية.</w:t>
            </w:r>
          </w:p>
        </w:tc>
        <w:tc>
          <w:tcPr>
            <w:tcW w:w="289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Pr="00E14468" w:rsidRDefault="00FA4E50" w:rsidP="00FA4E50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403F10" w:rsidRPr="00E8014E" w:rsidRDefault="00403F10" w:rsidP="00403F10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تقويم أداء الطالب أثناء عمل المجموعة .</w:t>
            </w:r>
          </w:p>
          <w:p w:rsidR="00403F10" w:rsidRPr="00E8014E" w:rsidRDefault="00403F10" w:rsidP="00403F10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 الطلاب أثناء المناقشة والحوار .</w:t>
            </w:r>
          </w:p>
          <w:p w:rsidR="00403F10" w:rsidRPr="00E8014E" w:rsidRDefault="00403F10" w:rsidP="00403F10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مراقبة مدى التزام الطالب بإنجاز المهام في الوقت المحدد .</w:t>
            </w:r>
          </w:p>
          <w:p w:rsidR="00403F10" w:rsidRPr="00E8014E" w:rsidRDefault="00403F10" w:rsidP="00403F10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المناظرات العلمية .</w:t>
            </w:r>
          </w:p>
          <w:p w:rsidR="00FA4E50" w:rsidRPr="00A95333" w:rsidRDefault="00403F10" w:rsidP="00403F10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ملاحظة ملف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lastRenderedPageBreak/>
              <w:t>الإنجاز ومدى التزام الطالب بجمع ما طلب منه وتسليمه في الموعد .</w:t>
            </w:r>
            <w:r w:rsidR="00FA4E50"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FA4E50" w:rsidRPr="00E8014E" w:rsidRDefault="00FA4E50" w:rsidP="00FA4E50">
            <w:pPr>
              <w:pStyle w:val="ad"/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 إدارة الحوار الفقهي.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الطب قادرًا على 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 ضمن فريق عمل.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 الأخلاقية وآداب الخلاف الفقهي.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الذاتي,و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lastRenderedPageBreak/>
              <w:t>وزملائه.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3.8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والواجبات 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3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FA4E50" w:rsidRPr="00E8014E" w:rsidTr="005B74CF">
        <w:tc>
          <w:tcPr>
            <w:tcW w:w="68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FA4E50" w:rsidRPr="00134897" w:rsidRDefault="00FA4E50" w:rsidP="00FA4E50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403F10" w:rsidRPr="00E8014E" w:rsidRDefault="00403F10" w:rsidP="00403F10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 الجوانب الشفوية والكتابية )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403F10" w:rsidRPr="00E8014E" w:rsidRDefault="00403F10" w:rsidP="00403F10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الواجبات المنزلية المؤداة باستخدام التقنية الحديثة مثل : البلاك بورد  .</w:t>
            </w:r>
          </w:p>
          <w:p w:rsidR="00403F10" w:rsidRPr="00E8014E" w:rsidRDefault="00403F10" w:rsidP="00403F10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الكتابية .</w:t>
            </w:r>
          </w:p>
          <w:p w:rsidR="00403F10" w:rsidRPr="00E8014E" w:rsidRDefault="00403F10" w:rsidP="00403F10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الطلاب في التطبيقات الصفية .</w:t>
            </w:r>
          </w:p>
          <w:p w:rsidR="00FA4E50" w:rsidRPr="00E8014E" w:rsidRDefault="00403F10" w:rsidP="00403F10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</w:t>
            </w: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البحث الفقهي.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التواصل مع أستاذه وزملائه.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5B74CF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متطلبات المقرر والحصول على المعلومات الحديثة.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5B74CF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FA4E50" w:rsidRPr="00134897" w:rsidRDefault="00FA4E50" w:rsidP="00FA4E50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التقنيةفي تقديم الواجبات والتقارير 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5B74CF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76957" w:rsidRPr="00E8014E" w:rsidRDefault="00FA2937" w:rsidP="00BC175B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Pr="00E8014E">
        <w:rPr>
          <w:rFonts w:ascii="Traditional Arabic" w:hAnsi="Traditional Arabic" w:cs="Traditional Arabic"/>
          <w:color w:val="FF0000"/>
          <w:rtl/>
        </w:rPr>
        <w:t>يمكن تحليل تقييم مستوى اكتساب الطلاب لكل مخرج تعليمي في المقرر من خلال تقييم نتائج أداء الطلاب باستخدام مؤشر أداء للمخرج التعليمي أو من خلال مقاييس التقدير الوصفي -روبركس (</w:t>
      </w:r>
      <w:r w:rsidRPr="00E8014E">
        <w:rPr>
          <w:rFonts w:ascii="Traditional Arabic" w:hAnsi="Traditional Arabic" w:cs="Traditional Arabic"/>
          <w:color w:val="FF0000"/>
          <w:lang w:val="en-US"/>
        </w:rPr>
        <w:t>rubrics</w:t>
      </w:r>
      <w:r w:rsidRPr="00E8014E">
        <w:rPr>
          <w:rFonts w:ascii="Traditional Arabic" w:hAnsi="Traditional Arabic" w:cs="Traditional Arabic"/>
          <w:color w:val="FF0000"/>
          <w:rtl/>
        </w:rPr>
        <w:t>) أو أي طريقة لاحتساب الدرجات بما يتناسب مع طبيعة الأعمال أو الاختبارات محل التقييم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838"/>
        <w:gridCol w:w="715"/>
        <w:gridCol w:w="3296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داخل القاعة في المراجع مع التحليل والشرح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تبادل الأدوار 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العصف الذهني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الاكتشاف 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التعلم الذاتي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الخارجية .</w:t>
            </w:r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تحليل وتفسير المادة العلمية المقروءة داخل القاعة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البحث العلمي في المصادر وقواعد المعلومات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مهارة التقسيم والتصنيف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مجموعات النقاش الصغيرة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الثقافي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عرض نماذج بحثية للمحاكاة أو النقد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حل المشكلات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دراسة المقالات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التمارين 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إشراك الطلاب في المناشطالجماعية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تأليف فرق عمل لإنجاز 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بالإشراف على المناشط غير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ملف الانجاز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البحوث العلمية الفردية والجماعية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المكتبة الشاملة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التحرير الكتابي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منحنى توزيع الدرجات ( الرسم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من قبل 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59F" w:rsidRDefault="0062359F">
      <w:r>
        <w:separator/>
      </w:r>
    </w:p>
  </w:endnote>
  <w:endnote w:type="continuationSeparator" w:id="1">
    <w:p w:rsidR="0062359F" w:rsidRDefault="00623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A8" w:rsidRPr="00E85FEB" w:rsidRDefault="00F218A8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F218A8" w:rsidRDefault="00C84C81" w:rsidP="00A97885">
    <w:pPr>
      <w:pStyle w:val="a3"/>
      <w:bidi/>
      <w:jc w:val="right"/>
    </w:pPr>
    <w:r w:rsidRPr="00C84C81">
      <w:fldChar w:fldCharType="begin"/>
    </w:r>
    <w:r w:rsidR="00F218A8">
      <w:instrText xml:space="preserve"> PAGE   \* MERGEFORMAT </w:instrText>
    </w:r>
    <w:r w:rsidRPr="00C84C81">
      <w:fldChar w:fldCharType="separate"/>
    </w:r>
    <w:r w:rsidR="00403F10" w:rsidRPr="00403F10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  <w:p w:rsidR="00F218A8" w:rsidRPr="0094487B" w:rsidRDefault="00F218A8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A8" w:rsidRPr="00BD314D" w:rsidRDefault="00F218A8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F218A8" w:rsidRDefault="00F218A8" w:rsidP="003A369E">
    <w:pPr>
      <w:pStyle w:val="a3"/>
      <w:bidi/>
    </w:pPr>
  </w:p>
  <w:p w:rsidR="00F218A8" w:rsidRDefault="00F218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59F" w:rsidRDefault="0062359F">
      <w:r>
        <w:separator/>
      </w:r>
    </w:p>
  </w:footnote>
  <w:footnote w:type="continuationSeparator" w:id="1">
    <w:p w:rsidR="0062359F" w:rsidRDefault="00623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A8" w:rsidRDefault="00F218A8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18A8" w:rsidRPr="00E9121F" w:rsidRDefault="00F218A8" w:rsidP="00E91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6162"/>
    <w:multiLevelType w:val="hybridMultilevel"/>
    <w:tmpl w:val="6F2EC640"/>
    <w:lvl w:ilvl="0" w:tplc="62DE35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4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>
    <w:nsid w:val="327604A8"/>
    <w:multiLevelType w:val="hybridMultilevel"/>
    <w:tmpl w:val="AF10AAA4"/>
    <w:lvl w:ilvl="0" w:tplc="C7D4AAB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517734"/>
    <w:multiLevelType w:val="hybridMultilevel"/>
    <w:tmpl w:val="665AF040"/>
    <w:lvl w:ilvl="0" w:tplc="C7D4AAB2">
      <w:numFmt w:val="bullet"/>
      <w:lvlText w:val="-"/>
      <w:lvlJc w:val="left"/>
      <w:pPr>
        <w:ind w:left="45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7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9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D3F40"/>
    <w:multiLevelType w:val="hybridMultilevel"/>
    <w:tmpl w:val="E3CA475C"/>
    <w:lvl w:ilvl="0" w:tplc="C7D4A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13"/>
  </w:num>
  <w:num w:numId="11">
    <w:abstractNumId w:val="7"/>
  </w:num>
  <w:num w:numId="12">
    <w:abstractNumId w:val="15"/>
  </w:num>
  <w:num w:numId="13">
    <w:abstractNumId w:val="16"/>
  </w:num>
  <w:num w:numId="14">
    <w:abstractNumId w:val="14"/>
  </w:num>
  <w:num w:numId="15">
    <w:abstractNumId w:val="5"/>
  </w:num>
  <w:num w:numId="16">
    <w:abstractNumId w:val="3"/>
  </w:num>
  <w:num w:numId="17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16D6"/>
    <w:rsid w:val="00091ADE"/>
    <w:rsid w:val="00093AD8"/>
    <w:rsid w:val="00093EAA"/>
    <w:rsid w:val="00094D66"/>
    <w:rsid w:val="0009535F"/>
    <w:rsid w:val="00096364"/>
    <w:rsid w:val="00096438"/>
    <w:rsid w:val="0009684B"/>
    <w:rsid w:val="00096C5D"/>
    <w:rsid w:val="000971B4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01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850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0FA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8A6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2EE1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72B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50CA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6646D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181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58A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02C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10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662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CA7"/>
    <w:rsid w:val="00535F63"/>
    <w:rsid w:val="00536756"/>
    <w:rsid w:val="00536A8A"/>
    <w:rsid w:val="00537165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2B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0182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2886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0ED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59F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692"/>
    <w:rsid w:val="00635EA3"/>
    <w:rsid w:val="00635F1A"/>
    <w:rsid w:val="00636831"/>
    <w:rsid w:val="006379F1"/>
    <w:rsid w:val="00637C73"/>
    <w:rsid w:val="00637C94"/>
    <w:rsid w:val="00640DAD"/>
    <w:rsid w:val="00641367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523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185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6FE5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6F08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3C7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991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8D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27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2F1F"/>
    <w:rsid w:val="008C38A1"/>
    <w:rsid w:val="008C394D"/>
    <w:rsid w:val="008C4D75"/>
    <w:rsid w:val="008C4F2B"/>
    <w:rsid w:val="008C53C8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0A79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3966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2F57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332"/>
    <w:rsid w:val="00A353F1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3B5"/>
    <w:rsid w:val="00A636E4"/>
    <w:rsid w:val="00A63733"/>
    <w:rsid w:val="00A63D50"/>
    <w:rsid w:val="00A63F23"/>
    <w:rsid w:val="00A65719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2682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406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270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BF7655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6E95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4C81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732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0307"/>
    <w:rsid w:val="00CC1082"/>
    <w:rsid w:val="00CC147F"/>
    <w:rsid w:val="00CC15AA"/>
    <w:rsid w:val="00CC167B"/>
    <w:rsid w:val="00CC16AC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2D5D"/>
    <w:rsid w:val="00CF316C"/>
    <w:rsid w:val="00CF3BB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63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5816"/>
    <w:rsid w:val="00DA6043"/>
    <w:rsid w:val="00DA7ACD"/>
    <w:rsid w:val="00DA7E42"/>
    <w:rsid w:val="00DB017B"/>
    <w:rsid w:val="00DB021B"/>
    <w:rsid w:val="00DB03CB"/>
    <w:rsid w:val="00DB2843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1BC3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030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18A8"/>
    <w:rsid w:val="00F21A0B"/>
    <w:rsid w:val="00F22926"/>
    <w:rsid w:val="00F22973"/>
    <w:rsid w:val="00F23CF4"/>
    <w:rsid w:val="00F2422D"/>
    <w:rsid w:val="00F24600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18EB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4E50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20974D-2ED0-4840-9968-E3948CEA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1773</Words>
  <Characters>10107</Characters>
  <Application>Microsoft Office Word</Application>
  <DocSecurity>0</DocSecurity>
  <Lines>84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توتوالحلو</cp:lastModifiedBy>
  <cp:revision>3</cp:revision>
  <cp:lastPrinted>2016-01-19T12:24:00Z</cp:lastPrinted>
  <dcterms:created xsi:type="dcterms:W3CDTF">2018-04-17T16:17:00Z</dcterms:created>
  <dcterms:modified xsi:type="dcterms:W3CDTF">2018-04-20T17:09:00Z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