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The National Center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22174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22174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21747" w:rsidRPr="00221747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</w:rPr>
        <w:t>فقه التعاملات الالكترونية (كلية الحاسب)</w:t>
      </w:r>
    </w:p>
    <w:p w:rsidR="00347305" w:rsidRPr="00E8014E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22174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221747" w:rsidRPr="00221747">
        <w:rPr>
          <w:rFonts w:ascii="Traditional Arabic" w:hAnsi="Traditional Arabic" w:cs="Traditional Arabic" w:hint="cs"/>
          <w:color w:val="548DD4" w:themeColor="text2" w:themeTint="99"/>
          <w:sz w:val="32"/>
          <w:szCs w:val="32"/>
          <w:rtl/>
          <w:lang w:bidi="ar-EG"/>
        </w:rPr>
        <w:t>فقه 200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كل 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المؤسسة 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تاريخ التقرير: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كلية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274E27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3E7761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فقه </w:t>
            </w:r>
            <w:r w:rsidR="00EB7804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200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رقم الشعبة: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B4D07" w:rsidRPr="00221747" w:rsidRDefault="00B82FD8" w:rsidP="0022174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المقرر:</w:t>
            </w:r>
            <w:r w:rsidR="00221747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r w:rsidR="00221747" w:rsidRPr="00221747">
              <w:rPr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جامعة الإمام محمد بن سعود </w:t>
            </w:r>
            <w:r w:rsidR="00221747" w:rsidRPr="00221747">
              <w:rPr>
                <w:rFonts w:ascii="Traditional Arabic" w:hAnsi="Traditional Arabic" w:cs="Traditional Arabic"/>
                <w:color w:val="548DD4" w:themeColor="text2" w:themeTint="99"/>
                <w:rtl/>
              </w:rPr>
              <w:t>–</w:t>
            </w:r>
            <w:r w:rsidR="00221747" w:rsidRPr="00221747">
              <w:rPr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 كلية الحاسب </w:t>
            </w:r>
            <w:r w:rsidR="00221747" w:rsidRPr="00221747">
              <w:rPr>
                <w:rFonts w:ascii="Traditional Arabic" w:hAnsi="Traditional Arabic" w:cs="Traditional Arabic"/>
                <w:color w:val="548DD4" w:themeColor="text2" w:themeTint="99"/>
                <w:rtl/>
              </w:rPr>
              <w:t>–</w:t>
            </w:r>
            <w:r w:rsidR="00221747" w:rsidRPr="00221747">
              <w:rPr>
                <w:rFonts w:ascii="Traditional Arabic" w:hAnsi="Traditional Arabic" w:cs="Traditional Arabic" w:hint="cs"/>
                <w:color w:val="548DD4" w:themeColor="text2" w:themeTint="99"/>
                <w:rtl/>
              </w:rPr>
              <w:t xml:space="preserve"> مبنى</w:t>
            </w:r>
            <w:r w:rsidR="00221747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r w:rsidR="00221747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DC780C">
        <w:tblPrEx>
          <w:tblLook w:val="01E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B1" w:rsidRPr="00134897" w:rsidRDefault="00B05FB1" w:rsidP="00B05FB1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6F6CB9">
        <w:tblPrEx>
          <w:tblLook w:val="01E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B05FB1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B05FB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E21F53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63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1"/>
        <w:gridCol w:w="1119"/>
        <w:gridCol w:w="1087"/>
        <w:gridCol w:w="2846"/>
      </w:tblGrid>
      <w:tr w:rsidR="00B82FD8" w:rsidRPr="00E8014E" w:rsidTr="00AB60A4">
        <w:tc>
          <w:tcPr>
            <w:tcW w:w="9633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AB60A4">
        <w:trPr>
          <w:trHeight w:val="1052"/>
        </w:trPr>
        <w:tc>
          <w:tcPr>
            <w:tcW w:w="4581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تعريف الفقه.</w:t>
            </w:r>
          </w:p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أحكام الملكية الفردية.</w:t>
            </w:r>
          </w:p>
        </w:tc>
        <w:tc>
          <w:tcPr>
            <w:tcW w:w="1119" w:type="dxa"/>
            <w:vAlign w:val="center"/>
          </w:tcPr>
          <w:p w:rsidR="003E2389" w:rsidRDefault="00B6048D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087" w:type="dxa"/>
          </w:tcPr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 يكتب لا يوجد</w:t>
            </w:r>
          </w:p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التتدريس الخاصة بالعضوة عن المخطط لها  ( كوجود مؤتمر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للقسم )</w:t>
            </w:r>
          </w:p>
        </w:tc>
        <w:tc>
          <w:tcPr>
            <w:tcW w:w="2846" w:type="dxa"/>
          </w:tcPr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أ-إذا أعطيت المحاضرة في العدد المخطط له ينقل العدد نفسه</w:t>
            </w:r>
          </w:p>
          <w:p w:rsidR="003E2389" w:rsidRPr="00E8014E" w:rsidRDefault="003E2389" w:rsidP="003E2389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lastRenderedPageBreak/>
              <w:t>إبرام العقود التجارية عبر وسائل الاتصال الحديثة (البيع، الشراء، الإيجار،التأمين..)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إبرام العقود غير التجارية عبر وسائل الاتصال الحديثة(النكاح، الطلاق، الوكالة...)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إجراءات التعاقد عبر وسائل الاتصال الحديثة (الإيجاب والقبول، لزوم العقد، تسليم الثمن والمثمن، ثبوت حث الخيار).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حكم تدمير مواقع الإنترنت.</w:t>
            </w:r>
          </w:p>
        </w:tc>
        <w:tc>
          <w:tcPr>
            <w:tcW w:w="1119" w:type="dxa"/>
            <w:vAlign w:val="center"/>
          </w:tcPr>
          <w:p w:rsidR="003E2389" w:rsidRPr="00E8014E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6A6F6C" w:rsidRDefault="003E2389" w:rsidP="003E2389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E2389" w:rsidP="003E2389">
            <w:pPr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حكم اختراق البريد الإلكتروني.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6A6F6C" w:rsidRDefault="003D0E86" w:rsidP="003D0E86">
            <w:pPr>
              <w:rPr>
                <w:rFonts w:ascii="Traditional Arabic" w:hAnsi="Traditional Arabic" w:cs="Traditional Arabic"/>
                <w:color w:val="00B050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3E2389">
        <w:trPr>
          <w:trHeight w:val="253"/>
        </w:trPr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أحكام القذف والسب والاعتداء على الحياة الخاصة عبر الإنترنت.</w:t>
            </w:r>
          </w:p>
        </w:tc>
        <w:tc>
          <w:tcPr>
            <w:tcW w:w="1119" w:type="dxa"/>
            <w:vAlign w:val="center"/>
          </w:tcPr>
          <w:p w:rsidR="003E2389" w:rsidRDefault="00745697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3E2389" w:rsidRPr="00C250BF" w:rsidRDefault="003D0E86" w:rsidP="003E2389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  <w:lang w:val="en-US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حكم الاعتداء على الأموال.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حكم إتلاف البرامج والمعلومات بالفيروسات.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حكم نسخ البرامج المحمية.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طرق الوقاية من الاعتداءات</w:t>
            </w:r>
          </w:p>
        </w:tc>
        <w:tc>
          <w:tcPr>
            <w:tcW w:w="1119" w:type="dxa"/>
            <w:vAlign w:val="center"/>
          </w:tcPr>
          <w:p w:rsidR="003E2389" w:rsidRDefault="003E2389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3E2389" w:rsidRPr="00E8014E" w:rsidTr="00AB60A4">
        <w:tc>
          <w:tcPr>
            <w:tcW w:w="4581" w:type="dxa"/>
            <w:vAlign w:val="center"/>
          </w:tcPr>
          <w:p w:rsidR="003E2389" w:rsidRPr="00221747" w:rsidRDefault="003E2389" w:rsidP="003E2389">
            <w:pPr>
              <w:bidi/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</w:pPr>
            <w:r w:rsidRPr="00221747">
              <w:rPr>
                <w:rFonts w:ascii="Traditional Arabic" w:hAnsi="Traditional Arabic" w:cs="Traditional Arabic"/>
                <w:color w:val="548DD4" w:themeColor="text2" w:themeTint="99"/>
                <w:sz w:val="28"/>
                <w:szCs w:val="28"/>
                <w:rtl/>
              </w:rPr>
              <w:t>طرق مواجهة الغزو العقدي والأخلاقي والفكري عبر الإنترنت.</w:t>
            </w:r>
          </w:p>
        </w:tc>
        <w:tc>
          <w:tcPr>
            <w:tcW w:w="1119" w:type="dxa"/>
            <w:vAlign w:val="center"/>
          </w:tcPr>
          <w:p w:rsidR="003E2389" w:rsidRDefault="00D80341" w:rsidP="003E2389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087" w:type="dxa"/>
          </w:tcPr>
          <w:p w:rsidR="003E2389" w:rsidRPr="00C250BF" w:rsidRDefault="003D0E86" w:rsidP="003D0E8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846" w:type="dxa"/>
          </w:tcPr>
          <w:p w:rsidR="003E2389" w:rsidRPr="00E62CD2" w:rsidRDefault="003D0E86" w:rsidP="003D0E8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3D0E8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تكتب المواضيع التي نقص عدد  الساعات فيها كما هو مخطط )وإذا لم يوجد يكتب لايوجد</w:t>
            </w:r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854"/>
        <w:gridCol w:w="2855"/>
        <w:gridCol w:w="2836"/>
      </w:tblGrid>
      <w:tr w:rsidR="00B82FD8" w:rsidRPr="00E8014E" w:rsidTr="00E14468"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91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87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E14468">
        <w:tc>
          <w:tcPr>
            <w:tcW w:w="68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lastRenderedPageBreak/>
              <w:t>1</w:t>
            </w:r>
          </w:p>
        </w:tc>
        <w:tc>
          <w:tcPr>
            <w:tcW w:w="867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91" w:type="dxa"/>
            <w:vAlign w:val="center"/>
          </w:tcPr>
          <w:p w:rsidR="00E14468" w:rsidRPr="00134897" w:rsidRDefault="00F1501A" w:rsidP="008D7DBE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قادرا على أن يعرف معنى الفقه .</w:t>
            </w:r>
          </w:p>
        </w:tc>
        <w:tc>
          <w:tcPr>
            <w:tcW w:w="2896" w:type="dxa"/>
            <w:vMerge w:val="restart"/>
            <w:vAlign w:val="center"/>
          </w:tcPr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ملخص القراءة الخارجية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E14468" w:rsidRPr="00E8014E" w:rsidRDefault="00E14468" w:rsidP="00885A69">
            <w:pPr>
              <w:pStyle w:val="ad"/>
              <w:numPr>
                <w:ilvl w:val="0"/>
                <w:numId w:val="3"/>
              </w:numPr>
              <w:pBdr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الصفية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</w:p>
          <w:p w:rsidR="00E14468" w:rsidRPr="00E8014E" w:rsidRDefault="00E14468" w:rsidP="00E8014E">
            <w:pPr>
              <w:pStyle w:val="ad"/>
              <w:pBdr>
                <w:bar w:val="nil"/>
              </w:pBdr>
              <w:tabs>
                <w:tab w:val="left" w:pos="412"/>
              </w:tabs>
              <w:bidi/>
              <w:ind w:left="23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F1501A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1,2</w:t>
            </w:r>
          </w:p>
        </w:tc>
        <w:tc>
          <w:tcPr>
            <w:tcW w:w="2891" w:type="dxa"/>
            <w:vAlign w:val="center"/>
          </w:tcPr>
          <w:p w:rsidR="00E14468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F150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قادرا على أن</w:t>
            </w:r>
          </w:p>
          <w:p w:rsidR="00F1501A" w:rsidRPr="00134897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يدرك أحكام إبرام العقود التجارية وغير التجارية ، عبر وسائل الاتصال الحديثة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F1501A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2891" w:type="dxa"/>
            <w:vAlign w:val="center"/>
          </w:tcPr>
          <w:p w:rsidR="00E14468" w:rsidRPr="00134897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F150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أن يكون الطالب قادرا على أن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يدرك صفة إجراء العقود عبر وسائل الاتصال الحديثة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14468" w:rsidRPr="00E8014E" w:rsidTr="00E14468">
        <w:tc>
          <w:tcPr>
            <w:tcW w:w="686" w:type="dxa"/>
          </w:tcPr>
          <w:p w:rsidR="00E14468" w:rsidRPr="00857BFF" w:rsidRDefault="00E14468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1.4</w:t>
            </w:r>
          </w:p>
        </w:tc>
        <w:tc>
          <w:tcPr>
            <w:tcW w:w="2891" w:type="dxa"/>
            <w:vAlign w:val="center"/>
          </w:tcPr>
          <w:p w:rsidR="00E14468" w:rsidRPr="00134897" w:rsidRDefault="00F1501A" w:rsidP="00F1501A">
            <w:pPr>
              <w:bidi/>
              <w:ind w:left="8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1501A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أن يكون الطالب قادرا على أن</w:t>
            </w:r>
            <w:r w:rsidR="008E5952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حكم تدمير مواقع الانترنت .</w:t>
            </w:r>
          </w:p>
        </w:tc>
        <w:tc>
          <w:tcPr>
            <w:tcW w:w="2896" w:type="dxa"/>
            <w:vMerge/>
          </w:tcPr>
          <w:p w:rsidR="00E14468" w:rsidRPr="00E8014E" w:rsidRDefault="00E14468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87" w:type="dxa"/>
          </w:tcPr>
          <w:p w:rsidR="00E14468" w:rsidRDefault="00E14468" w:rsidP="00E8014E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 xml:space="preserve"> 1,5</w:t>
            </w:r>
          </w:p>
        </w:tc>
        <w:tc>
          <w:tcPr>
            <w:tcW w:w="2891" w:type="dxa"/>
          </w:tcPr>
          <w:p w:rsidR="007974E1" w:rsidRPr="006406C3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يعرف الطالب حكم اختراق البريد الإلكتروني</w:t>
            </w:r>
            <w:r w:rsidRPr="006406C3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يعرف الطالب أحكام القذف والسب والاعتداء على الحياة الخاصة عبر الإنترنت.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</w:tcPr>
          <w:p w:rsidR="007974E1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يدرك الطالب حكم الاعتداء على الأموال.</w:t>
            </w:r>
          </w:p>
        </w:tc>
        <w:tc>
          <w:tcPr>
            <w:tcW w:w="2896" w:type="dxa"/>
          </w:tcPr>
          <w:p w:rsidR="007974E1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0E795B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يدرك الطالب حكم إتلاف البرامج والمعلومات بالفيروسات.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7974E1" w:rsidRPr="000E795B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3D0E86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يعرف الطالب حكم نسخ البرامج المحمية.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7974E1" w:rsidP="007974E1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7974E1" w:rsidRPr="0068698E" w:rsidRDefault="00BA0B06" w:rsidP="00BA0B0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7974E1" w:rsidRPr="0068698E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7974E1" w:rsidRPr="000E795B" w:rsidRDefault="007974E1" w:rsidP="007974E1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</w:tc>
      </w:tr>
      <w:tr w:rsidR="007974E1" w:rsidRPr="00E8014E" w:rsidTr="00A245ED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3D0E86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1,10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يتعرف الطالب على طرق الوقاية من الاعتداءات.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BA0B06" w:rsidP="00BA0B0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  <w:tcBorders>
              <w:bottom w:val="single" w:sz="4" w:space="0" w:color="auto"/>
            </w:tcBorders>
          </w:tcPr>
          <w:p w:rsidR="007974E1" w:rsidRDefault="003D0E86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1,11</w:t>
            </w: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يدرك الطالب طرق مواجهة الغزو العقدي والأخلاقي والفكري عبر </w:t>
            </w: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lastRenderedPageBreak/>
              <w:t>الإنترنت.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BA0B06" w:rsidP="00BA0B06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BA0B06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A245ED">
        <w:tc>
          <w:tcPr>
            <w:tcW w:w="686" w:type="dxa"/>
            <w:tcBorders>
              <w:bottom w:val="single" w:sz="4" w:space="0" w:color="auto"/>
            </w:tcBorders>
          </w:tcPr>
          <w:p w:rsidR="007974E1" w:rsidRPr="003D0E86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891" w:type="dxa"/>
          </w:tcPr>
          <w:p w:rsidR="007974E1" w:rsidRPr="007974E1" w:rsidRDefault="007974E1" w:rsidP="007974E1">
            <w:pPr>
              <w:bidi/>
              <w:spacing w:line="520" w:lineRule="exact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7974E1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يدرك الطالب أهمية التفقه في الدين في حياة المسلم ودور الحاسب في خدمة الفقه الإسلامي.</w:t>
            </w:r>
          </w:p>
        </w:tc>
        <w:tc>
          <w:tcPr>
            <w:tcW w:w="2896" w:type="dxa"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68698E" w:rsidRDefault="00BA0B06" w:rsidP="007974E1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bookmarkStart w:id="0" w:name="LastPosition"/>
            <w:bookmarkStart w:id="1" w:name="_GoBack"/>
            <w:bookmarkEnd w:id="0"/>
            <w:bookmarkEnd w:id="1"/>
          </w:p>
        </w:tc>
      </w:tr>
      <w:tr w:rsidR="007974E1" w:rsidRPr="00E8014E" w:rsidTr="00B26145">
        <w:tc>
          <w:tcPr>
            <w:tcW w:w="686" w:type="dxa"/>
            <w:tcBorders>
              <w:top w:val="single" w:sz="4" w:space="0" w:color="auto"/>
            </w:tcBorders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674" w:type="dxa"/>
            <w:gridSpan w:val="3"/>
          </w:tcPr>
          <w:p w:rsidR="007974E1" w:rsidRPr="00857BFF" w:rsidRDefault="007974E1" w:rsidP="007974E1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تصنيف القيم الإسلامية ضمن أنواعها الأساسية. </w:t>
            </w:r>
          </w:p>
        </w:tc>
        <w:tc>
          <w:tcPr>
            <w:tcW w:w="2896" w:type="dxa"/>
            <w:vMerge w:val="restart"/>
            <w:vAlign w:val="center"/>
          </w:tcPr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تقرير عن ندوات وحلقات نقاش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البحوث العلمية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المناقشات الصفية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243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الطلاب أثناء المناقشات</w:t>
            </w:r>
          </w:p>
          <w:p w:rsidR="007974E1" w:rsidRPr="00E8014E" w:rsidRDefault="007974E1" w:rsidP="007974E1">
            <w:pPr>
              <w:pStyle w:val="ad"/>
              <w:pBdr>
                <w:bar w:val="nil"/>
              </w:pBdr>
              <w:tabs>
                <w:tab w:val="left" w:pos="243"/>
              </w:tabs>
              <w:bidi/>
              <w:ind w:left="5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التمارين المنزلية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87" w:type="dxa"/>
            <w:vAlign w:val="center"/>
          </w:tcPr>
          <w:p w:rsidR="007974E1" w:rsidRPr="00E8014E" w:rsidRDefault="007974E1" w:rsidP="007974E1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تطبيق منهجية البحث العلمي في دراسته للقيم الإٍسلامية 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المقارنة بين القيم الإسلامية وقيم المنظومات المعرفية الأخرى.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2.4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تقييم واقع القيم الإسلامية في المجتمع. 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91" w:type="dxa"/>
          </w:tcPr>
          <w:p w:rsidR="007974E1" w:rsidRPr="00E8014E" w:rsidRDefault="007974E1" w:rsidP="007974E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اقتراح وسائل إجرائية لتعميق القيم الإسلامية في المجتمع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الموازنة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>بين الأقوال والأدلة 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إتقان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مهارة البحث العلمي وترتيب المعلومات من المصادر المختلفة.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مدركًا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لفروق الفقهية بين المسائل المتشابهة.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استنباط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الأحكام من النصوص 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lastRenderedPageBreak/>
              <w:t xml:space="preserve">الشرعية 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2،10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تطبيق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  <w:t xml:space="preserve">القواعد والأصول على فروع المسائل القديمة والمسائل المستجدة 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>.</w:t>
            </w:r>
          </w:p>
        </w:tc>
        <w:tc>
          <w:tcPr>
            <w:tcW w:w="2896" w:type="dxa"/>
            <w:vMerge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أن يكون الطالب قادرًا على صياغة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89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Pr="00E14468" w:rsidRDefault="007974E1" w:rsidP="007974E1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674" w:type="dxa"/>
            <w:gridSpan w:val="3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 خلال تكوين علاقات إيجابية مع الآخرين.</w:t>
            </w:r>
          </w:p>
        </w:tc>
        <w:tc>
          <w:tcPr>
            <w:tcW w:w="2896" w:type="dxa"/>
            <w:vMerge w:val="restart"/>
          </w:tcPr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تقويم أداء الطالب أثناء عمل المجموعة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 الطلاب أثناء المناقشة والحوار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مراقبة مدى التزام الطالب بإنجاز المهام في الوقت المحدد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تقييم المناظرات العلمية .</w:t>
            </w:r>
          </w:p>
          <w:p w:rsidR="007974E1" w:rsidRPr="00E8014E" w:rsidRDefault="007974E1" w:rsidP="007974E1">
            <w:pPr>
              <w:pStyle w:val="ad"/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 .</w:t>
            </w: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 إدارة الحوار الفقهي.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الطب قادرًا على 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 ضمن فريق عمل.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 الأخلاقية وآداب الخلاف الفقهي.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الذاتي,و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والواجبات 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674" w:type="dxa"/>
            <w:gridSpan w:val="3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7974E1" w:rsidRPr="00E8014E" w:rsidTr="00E21F53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96" w:type="dxa"/>
            <w:vMerge w:val="restart"/>
            <w:vAlign w:val="center"/>
          </w:tcPr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أداء الطلاب من خلال الأداء والعرض </w:t>
            </w: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( تقييم الجوانب الشفوية والكتابية )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lastRenderedPageBreak/>
              <w:t>تقييم الواجبات المنزلية المؤداة باستخدام التقنية الحديثة مثل : البلاك بورد 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</w:t>
            </w:r>
            <w:r w:rsidRPr="00E8014E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التقارير الكتابية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الطلاب في التطبيقات الصفية .</w:t>
            </w:r>
          </w:p>
          <w:p w:rsidR="007974E1" w:rsidRPr="00E8014E" w:rsidRDefault="007974E1" w:rsidP="007974E1">
            <w:pPr>
              <w:pStyle w:val="ad"/>
              <w:numPr>
                <w:ilvl w:val="0"/>
                <w:numId w:val="9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 .</w:t>
            </w: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lastRenderedPageBreak/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البحث الفقهي.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14468">
        <w:tc>
          <w:tcPr>
            <w:tcW w:w="686" w:type="dxa"/>
          </w:tcPr>
          <w:p w:rsidR="007974E1" w:rsidRPr="00857BFF" w:rsidRDefault="007974E1" w:rsidP="007974E1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4.3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التواصل مع أستاذه وزملائه.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21F53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 في متطلبات المقرر والحصول على المعلومات الحديثة.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21F53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91" w:type="dxa"/>
            <w:vAlign w:val="center"/>
          </w:tcPr>
          <w:p w:rsidR="007974E1" w:rsidRPr="00134897" w:rsidRDefault="007974E1" w:rsidP="007974E1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التقنيةفي تقديم الواجبات والتقارير 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7974E1" w:rsidRPr="00E8014E" w:rsidTr="00E21F53">
        <w:tc>
          <w:tcPr>
            <w:tcW w:w="686" w:type="dxa"/>
            <w:vAlign w:val="center"/>
          </w:tcPr>
          <w:p w:rsidR="007974E1" w:rsidRPr="003B42CB" w:rsidRDefault="007974E1" w:rsidP="007974E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91" w:type="dxa"/>
          </w:tcPr>
          <w:p w:rsidR="007974E1" w:rsidRPr="00134897" w:rsidRDefault="007974E1" w:rsidP="007974E1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96" w:type="dxa"/>
            <w:vMerge/>
          </w:tcPr>
          <w:p w:rsidR="007974E1" w:rsidRPr="00E8014E" w:rsidRDefault="007974E1" w:rsidP="007974E1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87" w:type="dxa"/>
          </w:tcPr>
          <w:p w:rsidR="007974E1" w:rsidRDefault="007974E1" w:rsidP="007974E1">
            <w:pPr>
              <w:jc w:val="center"/>
            </w:pPr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76957" w:rsidRPr="00E8014E" w:rsidRDefault="00FA2937" w:rsidP="00221747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221747" w:rsidRPr="00221747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221747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حتساب الدرجات بما يتناسب مع طبيعة الأعمال أو الاختبارات محل التقييم </w:t>
      </w:r>
      <w:r w:rsidR="00221747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766"/>
        <w:gridCol w:w="716"/>
        <w:gridCol w:w="332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داخل القاعة في المراجع مع التحليل والشرح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تبادل الأدوار 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العصف الذهني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الاكتشاف 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التعلم الذاتي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القراءة الخارجية .</w:t>
            </w:r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تحليل وتفسير المادة العلمية المقروءة داخل القاعة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البحث العلمي في المصادر وقواعد المعلومات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مهارة التقسيم والتصنيف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مجموعات النقاش الصغيرة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الثقافي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عرض نماذج بحثية للمحاكاة أو النقد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حل المشكلات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دراسة المقالات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التمارين المنزلية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إشراك الطلاب في المناشطالجماعية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تأليف فرق عمل لإنجاز 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بالإشراف على المناشط غير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ملف الانجاز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التمارين المنزلية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البحوث العلمية الفردية والجماعية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lastRenderedPageBreak/>
              <w:t>الحوار والنقاش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التعليم التعاوني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المحاضرات الصفية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التطبيقات 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المكتبة الشاملة 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تدريب الطلاب على استخدام برنامج التحرير الكتابي 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221747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مصفوفة الاختبار:</w:t>
      </w:r>
    </w:p>
    <w:tbl>
      <w:tblPr>
        <w:tblStyle w:val="ac"/>
        <w:tblW w:w="9781" w:type="dxa"/>
        <w:tblInd w:w="-459" w:type="dxa"/>
        <w:tblLook w:val="04A0"/>
      </w:tblPr>
      <w:tblGrid>
        <w:gridCol w:w="993"/>
        <w:gridCol w:w="986"/>
        <w:gridCol w:w="991"/>
        <w:gridCol w:w="1074"/>
        <w:gridCol w:w="957"/>
        <w:gridCol w:w="4780"/>
      </w:tblGrid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center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الدرجة المستحقة من 65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hint="cs"/>
                <w:color w:val="17365D" w:themeColor="text2" w:themeShade="BF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4.6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ind w:left="1080"/>
              <w:jc w:val="right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تعريف الف</w:t>
            </w:r>
            <w:r w:rsidRPr="00FE1A0A">
              <w:rPr>
                <w:rFonts w:asciiTheme="minorBidi" w:hAnsiTheme="minorBidi" w:cstheme="minorBidi" w:hint="cs"/>
                <w:color w:val="17365D" w:themeColor="text2" w:themeShade="BF"/>
                <w:sz w:val="28"/>
                <w:szCs w:val="28"/>
                <w:rtl/>
              </w:rPr>
              <w:t>قه ـ</w:t>
            </w: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أحكام الملكية الفردي</w:t>
            </w:r>
            <w:r w:rsidRPr="00FE1A0A">
              <w:rPr>
                <w:rFonts w:asciiTheme="minorBidi" w:hAnsiTheme="minorBidi" w:cstheme="minorBidi" w:hint="cs"/>
                <w:color w:val="17365D" w:themeColor="text2" w:themeShade="BF"/>
                <w:sz w:val="28"/>
                <w:szCs w:val="28"/>
                <w:rtl/>
              </w:rPr>
              <w:t>ة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إبرام العقود التجارية عبر وسائل الاتصال الحديثة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2.3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إبرام العقود غير التجارية عبر وسائل الاتصال الحديثة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3.3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إجراءات التعاقد عبر وسائل الاتصال الحديثة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5.6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حكم إتلاف البرامج والمعلومات بالفيروسات..</w:t>
            </w:r>
          </w:p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حكم نسخ البرامج المحمية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5.6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حكم تدمير مواقع الإنترنت.</w:t>
            </w:r>
            <w:r w:rsidRPr="00FE1A0A">
              <w:rPr>
                <w:rFonts w:asciiTheme="minorBidi" w:hAnsiTheme="minorBidi" w:cstheme="minorBidi" w:hint="cs"/>
                <w:color w:val="17365D" w:themeColor="text2" w:themeShade="BF"/>
                <w:sz w:val="28"/>
                <w:szCs w:val="28"/>
                <w:rtl/>
              </w:rPr>
              <w:t xml:space="preserve"> -</w:t>
            </w: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حكم اختراق البريد الإلكتروني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4.6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أحكام القذف والسب والاعتداء على الحياة الخاصة عبر الإنترنت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3.3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حكم الاعتداء على الأموال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3.3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4.3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6.6%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2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asciiTheme="minorBidi" w:hAnsiTheme="minorBidi" w:cstheme="minorBidi" w:hint="cs"/>
                <w:color w:val="17365D" w:themeColor="text2" w:themeShade="BF"/>
                <w:sz w:val="28"/>
                <w:szCs w:val="28"/>
                <w:rtl/>
                <w:lang w:val="en-US"/>
              </w:rPr>
              <w:t>طرق الوقاية من الاعتداءات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4.6</w:t>
            </w: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8.6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13.3%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4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</w:pPr>
            <w:r w:rsidRPr="00FE1A0A"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  <w:t>طرق مواجهة الغزو العقدي والأخلاقي والفكري عبر الإنترنت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64.5</w:t>
            </w: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99.5</w:t>
            </w: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30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center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</w:rPr>
            </w:pPr>
            <w:r w:rsidRPr="00FE1A0A">
              <w:rPr>
                <w:rFonts w:asciiTheme="minorBidi" w:hAnsiTheme="minorBidi" w:cstheme="minorBidi" w:hint="cs"/>
                <w:color w:val="17365D" w:themeColor="text2" w:themeShade="BF"/>
                <w:sz w:val="28"/>
                <w:szCs w:val="28"/>
                <w:rtl/>
              </w:rPr>
              <w:t>المجموع</w:t>
            </w:r>
          </w:p>
        </w:tc>
      </w:tr>
      <w:tr w:rsidR="00221747" w:rsidRPr="00FE1A0A" w:rsidTr="00221747">
        <w:tc>
          <w:tcPr>
            <w:tcW w:w="993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color w:val="17365D" w:themeColor="text2" w:themeShade="BF"/>
                <w:sz w:val="28"/>
                <w:szCs w:val="28"/>
                <w:lang w:val="en-US"/>
              </w:rPr>
            </w:pPr>
            <w:r w:rsidRPr="00FE1A0A">
              <w:rPr>
                <w:color w:val="17365D" w:themeColor="text2" w:themeShade="BF"/>
                <w:sz w:val="28"/>
                <w:szCs w:val="28"/>
                <w:lang w:val="en-US"/>
              </w:rPr>
              <w:t>5</w:t>
            </w:r>
          </w:p>
        </w:tc>
        <w:tc>
          <w:tcPr>
            <w:tcW w:w="4780" w:type="dxa"/>
            <w:shd w:val="clear" w:color="auto" w:fill="auto"/>
          </w:tcPr>
          <w:p w:rsidR="00221747" w:rsidRPr="00FE1A0A" w:rsidRDefault="00221747" w:rsidP="00586E7F">
            <w:pPr>
              <w:jc w:val="right"/>
              <w:rPr>
                <w:rFonts w:asciiTheme="minorBidi" w:hAnsiTheme="minorBidi" w:cstheme="minorBidi"/>
                <w:color w:val="17365D" w:themeColor="text2" w:themeShade="BF"/>
                <w:sz w:val="28"/>
                <w:szCs w:val="28"/>
                <w:rtl/>
                <w:lang w:val="en-US"/>
              </w:rPr>
            </w:pPr>
            <w:r w:rsidRPr="00FE1A0A">
              <w:rPr>
                <w:rFonts w:asciiTheme="minorBidi" w:hAnsiTheme="minorBidi" w:cstheme="minorBidi" w:hint="cs"/>
                <w:color w:val="17365D" w:themeColor="text2" w:themeShade="BF"/>
                <w:sz w:val="28"/>
                <w:szCs w:val="28"/>
                <w:rtl/>
                <w:lang w:val="en-US"/>
              </w:rPr>
              <w:t xml:space="preserve">درجة الخط والإملاء وسلامة اللغة </w:t>
            </w:r>
          </w:p>
        </w:tc>
      </w:tr>
    </w:tbl>
    <w:p w:rsidR="00221747" w:rsidRPr="00221747" w:rsidRDefault="00221747" w:rsidP="0022174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( المطلوب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82FD8" w:rsidRPr="00E44CD5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221747" w:rsidRDefault="00221747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221747" w:rsidRDefault="00221747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221747" w:rsidRDefault="00221747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p w:rsidR="00221747" w:rsidRPr="00221747" w:rsidRDefault="00221747" w:rsidP="00221747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US"/>
              </w:rPr>
            </w:pPr>
            <w:r w:rsidRPr="0022174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US"/>
              </w:rPr>
              <w:t>منحنى توزيع الدرجات :</w:t>
            </w:r>
          </w:p>
          <w:p w:rsidR="00221747" w:rsidRDefault="00221747" w:rsidP="0022174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  <w:p w:rsidR="00221747" w:rsidRPr="00E8014E" w:rsidRDefault="00221747" w:rsidP="0022174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درجات 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(مثل: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من قبل 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ED7" w:rsidRDefault="00AC3ED7">
      <w:r>
        <w:separator/>
      </w:r>
    </w:p>
  </w:endnote>
  <w:endnote w:type="continuationSeparator" w:id="1">
    <w:p w:rsidR="00AC3ED7" w:rsidRDefault="00AC3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F9" w:rsidRPr="00E85FEB" w:rsidRDefault="005141F9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141F9" w:rsidRDefault="006D7BFC" w:rsidP="00A97885">
    <w:pPr>
      <w:pStyle w:val="a3"/>
      <w:bidi/>
      <w:jc w:val="right"/>
    </w:pPr>
    <w:r w:rsidRPr="006D7BFC">
      <w:fldChar w:fldCharType="begin"/>
    </w:r>
    <w:r w:rsidR="005141F9">
      <w:instrText xml:space="preserve"> PAGE   \* MERGEFORMAT </w:instrText>
    </w:r>
    <w:r w:rsidRPr="006D7BFC">
      <w:fldChar w:fldCharType="separate"/>
    </w:r>
    <w:r w:rsidR="00FE1A0A" w:rsidRPr="00FE1A0A">
      <w:rPr>
        <w:noProof/>
        <w:rtl/>
        <w:lang w:val="ar-SA"/>
      </w:rPr>
      <w:t>12</w:t>
    </w:r>
    <w:r>
      <w:rPr>
        <w:noProof/>
        <w:lang w:val="ar-SA"/>
      </w:rPr>
      <w:fldChar w:fldCharType="end"/>
    </w:r>
  </w:p>
  <w:p w:rsidR="005141F9" w:rsidRPr="0094487B" w:rsidRDefault="005141F9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F9" w:rsidRPr="00BD314D" w:rsidRDefault="005141F9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141F9" w:rsidRDefault="005141F9" w:rsidP="003A369E">
    <w:pPr>
      <w:pStyle w:val="a3"/>
      <w:bidi/>
    </w:pPr>
  </w:p>
  <w:p w:rsidR="005141F9" w:rsidRDefault="005141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ED7" w:rsidRDefault="00AC3ED7">
      <w:r>
        <w:separator/>
      </w:r>
    </w:p>
  </w:footnote>
  <w:footnote w:type="continuationSeparator" w:id="1">
    <w:p w:rsidR="00AC3ED7" w:rsidRDefault="00AC3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F9" w:rsidRDefault="005141F9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1F9" w:rsidRPr="00E9121F" w:rsidRDefault="005141F9" w:rsidP="00E912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700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0A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25A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5B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4D8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17967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6A7D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DCD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0B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0E6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747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4E27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68CA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5B39"/>
    <w:rsid w:val="002D62A8"/>
    <w:rsid w:val="002D6BAB"/>
    <w:rsid w:val="002D75A3"/>
    <w:rsid w:val="002D7F8D"/>
    <w:rsid w:val="002E07DE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47D4E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0E86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5EF"/>
    <w:rsid w:val="003E0858"/>
    <w:rsid w:val="003E1104"/>
    <w:rsid w:val="003E14CB"/>
    <w:rsid w:val="003E158F"/>
    <w:rsid w:val="003E15DC"/>
    <w:rsid w:val="003E17CD"/>
    <w:rsid w:val="003E2389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761"/>
    <w:rsid w:val="003E7AD6"/>
    <w:rsid w:val="003E7BB1"/>
    <w:rsid w:val="003E7F34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041A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87B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1A9E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471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037"/>
    <w:rsid w:val="005132FB"/>
    <w:rsid w:val="00513669"/>
    <w:rsid w:val="00513BB6"/>
    <w:rsid w:val="005141F9"/>
    <w:rsid w:val="00514A57"/>
    <w:rsid w:val="005172BA"/>
    <w:rsid w:val="00517F3D"/>
    <w:rsid w:val="00520455"/>
    <w:rsid w:val="005206EA"/>
    <w:rsid w:val="00520B31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0CC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10F"/>
    <w:rsid w:val="005D35AC"/>
    <w:rsid w:val="005D3A8E"/>
    <w:rsid w:val="005D400C"/>
    <w:rsid w:val="005D4574"/>
    <w:rsid w:val="005D4649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98E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1FEF"/>
    <w:rsid w:val="006D23CE"/>
    <w:rsid w:val="006D302B"/>
    <w:rsid w:val="006D32B0"/>
    <w:rsid w:val="006D558D"/>
    <w:rsid w:val="006D79C6"/>
    <w:rsid w:val="006D7BFC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8C5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5C8"/>
    <w:rsid w:val="00741CD6"/>
    <w:rsid w:val="00741F58"/>
    <w:rsid w:val="00743937"/>
    <w:rsid w:val="00743AE5"/>
    <w:rsid w:val="00744ACE"/>
    <w:rsid w:val="00745041"/>
    <w:rsid w:val="00745697"/>
    <w:rsid w:val="0074582D"/>
    <w:rsid w:val="007469C2"/>
    <w:rsid w:val="00747056"/>
    <w:rsid w:val="007470BA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5713"/>
    <w:rsid w:val="007664DD"/>
    <w:rsid w:val="00766624"/>
    <w:rsid w:val="007668DE"/>
    <w:rsid w:val="007670FF"/>
    <w:rsid w:val="007677D4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BC"/>
    <w:rsid w:val="00781CDC"/>
    <w:rsid w:val="007839A0"/>
    <w:rsid w:val="00785FA9"/>
    <w:rsid w:val="00786450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974E1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AEC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0BBE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F5D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458"/>
    <w:rsid w:val="008C2653"/>
    <w:rsid w:val="008C2724"/>
    <w:rsid w:val="008C38A1"/>
    <w:rsid w:val="008C394D"/>
    <w:rsid w:val="008C436A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DBE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5952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7A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0A4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1085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A28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B7D29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2DD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2C11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52CF"/>
    <w:rsid w:val="00AB60A4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3ED7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5FB1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145"/>
    <w:rsid w:val="00B26485"/>
    <w:rsid w:val="00B2753E"/>
    <w:rsid w:val="00B303DB"/>
    <w:rsid w:val="00B30780"/>
    <w:rsid w:val="00B307EA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048D"/>
    <w:rsid w:val="00B60E99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12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7184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0B06"/>
    <w:rsid w:val="00BA22EB"/>
    <w:rsid w:val="00BA26AA"/>
    <w:rsid w:val="00BA2922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5D7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09AD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0BF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1949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21FF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367F"/>
    <w:rsid w:val="00D7404A"/>
    <w:rsid w:val="00D742FB"/>
    <w:rsid w:val="00D74A58"/>
    <w:rsid w:val="00D75518"/>
    <w:rsid w:val="00D757BD"/>
    <w:rsid w:val="00D75999"/>
    <w:rsid w:val="00D75B25"/>
    <w:rsid w:val="00D77797"/>
    <w:rsid w:val="00D80341"/>
    <w:rsid w:val="00D816D3"/>
    <w:rsid w:val="00D81728"/>
    <w:rsid w:val="00D81FD3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246A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313"/>
    <w:rsid w:val="00E20C2B"/>
    <w:rsid w:val="00E2146A"/>
    <w:rsid w:val="00E21F53"/>
    <w:rsid w:val="00E221EC"/>
    <w:rsid w:val="00E225FA"/>
    <w:rsid w:val="00E226B5"/>
    <w:rsid w:val="00E2319C"/>
    <w:rsid w:val="00E24331"/>
    <w:rsid w:val="00E249ED"/>
    <w:rsid w:val="00E24F99"/>
    <w:rsid w:val="00E25F7D"/>
    <w:rsid w:val="00E2625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2CD2"/>
    <w:rsid w:val="00E645D5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B7804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099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01A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7C"/>
    <w:rsid w:val="00F464BE"/>
    <w:rsid w:val="00F46ADF"/>
    <w:rsid w:val="00F46C05"/>
    <w:rsid w:val="00F47AF9"/>
    <w:rsid w:val="00F47E5C"/>
    <w:rsid w:val="00F47F52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6B8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3CA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7B9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1A0A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83DEB-92D7-49A2-8230-E45BF2BB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1935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توتوالحلو</cp:lastModifiedBy>
  <cp:revision>4</cp:revision>
  <cp:lastPrinted>2016-01-19T12:24:00Z</cp:lastPrinted>
  <dcterms:created xsi:type="dcterms:W3CDTF">2018-04-17T17:48:00Z</dcterms:created>
  <dcterms:modified xsi:type="dcterms:W3CDTF">2018-04-20T18:05:00Z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