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bookmarkStart w:id="0" w:name="_GoBack"/>
      <w:bookmarkEnd w:id="0"/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75692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56921" w:rsidRPr="00756921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التعاملات الالكترونية ( كلية العلوم الطبيعية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75692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756921" w:rsidRPr="00756921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274E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3E7761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EB780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F02698" w:rsidRDefault="00B82FD8" w:rsidP="00F0269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F02698" w:rsidRPr="00756921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جامعة الإمام محمد بن سعود الإسلامية </w:t>
            </w:r>
            <w:r w:rsidR="00F02698" w:rsidRPr="00756921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F02698" w:rsidRPr="00756921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كلية العلوم الطبيعية </w:t>
            </w:r>
            <w:r w:rsidR="00F02698" w:rsidRPr="00756921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F02698" w:rsidRPr="00756921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مبنى </w:t>
            </w:r>
            <w:r w:rsidR="00F0269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F02698" w:rsidRDefault="00B82FD8" w:rsidP="00F02698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756921">
              <w:rPr>
                <w:rFonts w:ascii="Traditional Arabic" w:hAnsi="Traditional Arabic" w:cs="Traditional Arabic"/>
                <w:color w:val="00B050"/>
                <w:lang w:val="en-US"/>
              </w:rPr>
              <w:t xml:space="preserve"> </w:t>
            </w:r>
            <w:r w:rsidR="00F0269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الفقه.</w:t>
            </w:r>
          </w:p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الملكية الفردية.</w:t>
            </w:r>
          </w:p>
        </w:tc>
        <w:tc>
          <w:tcPr>
            <w:tcW w:w="1119" w:type="dxa"/>
            <w:vAlign w:val="center"/>
          </w:tcPr>
          <w:p w:rsidR="003E2389" w:rsidRDefault="00B6048D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إبرام العقود التجارية عبر وسائل الاتصال الحديثة (البيع، الشراء، الإيجار،التأمين..)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إبرام العقود غير التجارية عبر وسائل الاتصال الحديثة(النكاح، الطلاق، الوكالة...)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إجراءات التعاقد عبر وسائل الاتصال الحديثة (الإيجاب والقبول، لزوم العقد، تسليم الثمن والمثمن، ثبوت حث الخيار).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تدمير مواقع الإنترنت.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اختراق البريد الإلكتروني.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D0E86" w:rsidP="003D0E86">
            <w:pPr>
              <w:rPr>
                <w:rFonts w:ascii="Traditional Arabic" w:hAnsi="Traditional Arabic" w:cs="Traditional Arabic"/>
                <w:color w:val="00B050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3E2389">
        <w:trPr>
          <w:trHeight w:val="253"/>
        </w:trPr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القذف والسب والاعتداء على الحياة الخاصة عبر الإنترنت.</w:t>
            </w:r>
          </w:p>
        </w:tc>
        <w:tc>
          <w:tcPr>
            <w:tcW w:w="1119" w:type="dxa"/>
            <w:vAlign w:val="center"/>
          </w:tcPr>
          <w:p w:rsidR="003E2389" w:rsidRDefault="00745697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3E2389" w:rsidRPr="00C250BF" w:rsidRDefault="003D0E86" w:rsidP="003E2389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الاعتداء على الأموال.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إتلاف البرامج والمعلومات بالفيروسات.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نسخ البرامج المحمية.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الوقاية من الاعتداءات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D404C" w:rsidRDefault="003E2389" w:rsidP="003E238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04C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مواجهة الغزو العقدي والأخلاقي والفكري عبر الإنترنت.</w:t>
            </w:r>
          </w:p>
        </w:tc>
        <w:tc>
          <w:tcPr>
            <w:tcW w:w="1119" w:type="dxa"/>
            <w:vAlign w:val="center"/>
          </w:tcPr>
          <w:p w:rsidR="003E2389" w:rsidRDefault="00D80341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854"/>
        <w:gridCol w:w="2855"/>
        <w:gridCol w:w="2836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8D7DB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 يعرف معنى الفقه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F1501A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1,2</w:t>
            </w:r>
          </w:p>
        </w:tc>
        <w:tc>
          <w:tcPr>
            <w:tcW w:w="2891" w:type="dxa"/>
            <w:vAlign w:val="center"/>
          </w:tcPr>
          <w:p w:rsidR="00E14468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</w:t>
            </w:r>
          </w:p>
          <w:p w:rsidR="00F1501A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يدرك أحكام إبرام العقود التجارية وغير التجارية ، عبر وسائل الاتصال الحديثة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F1501A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يدرك صفة إجراء العقود عبر وسائل الاتصال الحديثة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أن</w:t>
            </w:r>
            <w:r w:rsidR="008E595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حكم تدمير مواقع الانترنت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1,5</w:t>
            </w:r>
          </w:p>
        </w:tc>
        <w:tc>
          <w:tcPr>
            <w:tcW w:w="2891" w:type="dxa"/>
          </w:tcPr>
          <w:p w:rsidR="007974E1" w:rsidRPr="006406C3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حكم اختراق البريد الإلكتروني</w:t>
            </w:r>
            <w:r w:rsidRPr="006406C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أحكام القذف والسب والاعتداء على الحياة الخاصة عبر الإنترنت.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حكم الاعتداء على الأموال.</w:t>
            </w:r>
          </w:p>
        </w:tc>
        <w:tc>
          <w:tcPr>
            <w:tcW w:w="2896" w:type="dxa"/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0E795B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حكم إتلاف البرامج والمعلومات بالفيروسات.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974E1" w:rsidRPr="000E795B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حكم نسخ البرامج المحمية.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7974E1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7974E1" w:rsidRPr="0068698E" w:rsidRDefault="00BA0B06" w:rsidP="00BA0B0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7974E1" w:rsidRPr="0068698E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7974E1" w:rsidRPr="000E795B" w:rsidRDefault="007974E1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7974E1" w:rsidRPr="00E8014E" w:rsidTr="00756921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يتعرف الطالب على طرق الوقاية من الاعتداءات.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BA0B0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يدرك الطالب طرق مواجهة الغزو العقدي والأخلاقي والفكري عبر </w:t>
            </w: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الإنترنت.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BA0B0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756921">
        <w:tc>
          <w:tcPr>
            <w:tcW w:w="686" w:type="dxa"/>
            <w:tcBorders>
              <w:bottom w:val="single" w:sz="4" w:space="0" w:color="auto"/>
            </w:tcBorders>
          </w:tcPr>
          <w:p w:rsidR="007974E1" w:rsidRPr="003D0E86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أهمية التفقه في الدين في حياة المسلم ودور الحاسب في خدمة الفقه الإسلامي.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bookmarkStart w:id="1" w:name="LastPosition"/>
            <w:bookmarkEnd w:id="1"/>
          </w:p>
        </w:tc>
      </w:tr>
      <w:tr w:rsidR="007974E1" w:rsidRPr="00E8014E" w:rsidTr="00B26145">
        <w:tc>
          <w:tcPr>
            <w:tcW w:w="686" w:type="dxa"/>
            <w:tcBorders>
              <w:top w:val="single" w:sz="4" w:space="0" w:color="auto"/>
            </w:tcBorders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7974E1" w:rsidRPr="00E8014E" w:rsidRDefault="007974E1" w:rsidP="007974E1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7974E1" w:rsidRPr="00E8014E" w:rsidRDefault="007974E1" w:rsidP="007974E1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الشرعية 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2،10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E14468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7974E1" w:rsidRPr="00E8014E" w:rsidRDefault="007974E1" w:rsidP="007974E1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7974E1" w:rsidRPr="00E8014E" w:rsidTr="00E21F53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الواجبات المنزلية المؤداة باستخدام التقنية الحديثة مثل : البلاك بورد 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756921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756921" w:rsidRPr="0075692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56921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756921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756921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مصفوفة الاختبار :</w:t>
      </w:r>
    </w:p>
    <w:tbl>
      <w:tblPr>
        <w:tblStyle w:val="ac"/>
        <w:tblW w:w="9781" w:type="dxa"/>
        <w:tblInd w:w="-459" w:type="dxa"/>
        <w:tblLook w:val="04A0"/>
      </w:tblPr>
      <w:tblGrid>
        <w:gridCol w:w="993"/>
        <w:gridCol w:w="986"/>
        <w:gridCol w:w="991"/>
        <w:gridCol w:w="1074"/>
        <w:gridCol w:w="957"/>
        <w:gridCol w:w="4780"/>
      </w:tblGrid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center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>الدرجة المستحقة من 65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hint="cs"/>
                <w:color w:val="548DD4" w:themeColor="text2" w:themeTint="99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ind w:left="1080"/>
              <w:jc w:val="right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تعريف الف</w:t>
            </w: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</w:rPr>
              <w:t>قه ـ</w:t>
            </w: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أحكام الملكية الفردي</w:t>
            </w: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</w:rPr>
              <w:t>ة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2.3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إبرام العقود التجارية عبر وسائل الاتصال الحديثة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2.3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إبرام العقود غير التجارية عبر وسائل الاتصال الحديثة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إجراءات التعاقد عبر وسائل الاتصال الحديثة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5.6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حكم إتلاف البرامج والمعلومات بالفيروسات..</w:t>
            </w:r>
          </w:p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حكم نسخ البرامج المحمية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5.6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حكم تدمير مواقع الإنترنت.</w:t>
            </w: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</w:rPr>
              <w:t xml:space="preserve"> -</w:t>
            </w: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حكم اختراق البريد الإلكتروني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أحكام القذف والسب والاعتداء على الحياة الخاصة عبر الإنترنت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حكم الاعتداء على الأموال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  <w:lang w:val="en-US"/>
              </w:rPr>
              <w:t>طرق الوقاية من الاعتداءات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</w:pPr>
            <w:r w:rsidRPr="00F02698"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  <w:t>طرق مواجهة الغزو العقدي والأخلاقي والفكري عبر الإنترنت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64.5</w:t>
            </w: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99.5</w:t>
            </w: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30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center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</w:rPr>
            </w:pP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</w:rPr>
              <w:t>المجموع</w:t>
            </w:r>
          </w:p>
        </w:tc>
      </w:tr>
      <w:tr w:rsidR="00460F4E" w:rsidRPr="00F02698" w:rsidTr="00460F4E">
        <w:tc>
          <w:tcPr>
            <w:tcW w:w="993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color w:val="548DD4" w:themeColor="text2" w:themeTint="99"/>
                <w:sz w:val="28"/>
                <w:szCs w:val="28"/>
                <w:lang w:val="en-US"/>
              </w:rPr>
            </w:pPr>
            <w:r w:rsidRPr="00F02698">
              <w:rPr>
                <w:color w:val="548DD4" w:themeColor="text2" w:themeTint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4780" w:type="dxa"/>
            <w:shd w:val="clear" w:color="auto" w:fill="auto"/>
          </w:tcPr>
          <w:p w:rsidR="00460F4E" w:rsidRPr="00F02698" w:rsidRDefault="00460F4E" w:rsidP="00586E7F">
            <w:pPr>
              <w:jc w:val="right"/>
              <w:rPr>
                <w:rFonts w:asciiTheme="minorBidi" w:hAnsiTheme="minorBidi" w:cstheme="minorBidi"/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F02698">
              <w:rPr>
                <w:rFonts w:asciiTheme="minorBidi" w:hAnsiTheme="minorBidi" w:cstheme="minorBidi" w:hint="cs"/>
                <w:color w:val="548DD4" w:themeColor="text2" w:themeTint="99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756921" w:rsidRPr="00460F4E" w:rsidRDefault="00756921" w:rsidP="0075692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460F4E" w:rsidRPr="00460F4E" w:rsidRDefault="00460F4E" w:rsidP="00460F4E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460F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460F4E" w:rsidRDefault="00460F4E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460F4E" w:rsidRDefault="00460F4E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460F4E" w:rsidRDefault="00460F4E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460F4E" w:rsidRDefault="00460F4E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460F4E" w:rsidRPr="00E8014E" w:rsidRDefault="00460F4E" w:rsidP="00460F4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E2" w:rsidRDefault="004E23E2">
      <w:r>
        <w:separator/>
      </w:r>
    </w:p>
  </w:endnote>
  <w:endnote w:type="continuationSeparator" w:id="1">
    <w:p w:rsidR="004E23E2" w:rsidRDefault="004E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1" w:rsidRPr="00E85FEB" w:rsidRDefault="00756921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56921" w:rsidRDefault="00085C95" w:rsidP="00A97885">
    <w:pPr>
      <w:pStyle w:val="a3"/>
      <w:bidi/>
      <w:jc w:val="right"/>
    </w:pPr>
    <w:r w:rsidRPr="00085C95">
      <w:fldChar w:fldCharType="begin"/>
    </w:r>
    <w:r w:rsidR="00756921">
      <w:instrText xml:space="preserve"> PAGE   \* MERGEFORMAT </w:instrText>
    </w:r>
    <w:r w:rsidRPr="00085C95">
      <w:fldChar w:fldCharType="separate"/>
    </w:r>
    <w:r w:rsidR="00F02698" w:rsidRPr="00F02698">
      <w:rPr>
        <w:noProof/>
        <w:rtl/>
        <w:lang w:val="ar-SA"/>
      </w:rPr>
      <w:t>13</w:t>
    </w:r>
    <w:r>
      <w:rPr>
        <w:noProof/>
        <w:lang w:val="ar-SA"/>
      </w:rPr>
      <w:fldChar w:fldCharType="end"/>
    </w:r>
  </w:p>
  <w:p w:rsidR="00756921" w:rsidRPr="0094487B" w:rsidRDefault="00756921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1" w:rsidRPr="00BD314D" w:rsidRDefault="00756921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56921" w:rsidRDefault="00756921" w:rsidP="003A369E">
    <w:pPr>
      <w:pStyle w:val="a3"/>
      <w:bidi/>
    </w:pPr>
  </w:p>
  <w:p w:rsidR="00756921" w:rsidRDefault="007569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E2" w:rsidRDefault="004E23E2">
      <w:r>
        <w:separator/>
      </w:r>
    </w:p>
  </w:footnote>
  <w:footnote w:type="continuationSeparator" w:id="1">
    <w:p w:rsidR="004E23E2" w:rsidRDefault="004E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1" w:rsidRDefault="00756921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921" w:rsidRPr="00E9121F" w:rsidRDefault="00756921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700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25A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5C95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5B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6A7D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0B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6A31"/>
    <w:rsid w:val="001D7348"/>
    <w:rsid w:val="001E1F53"/>
    <w:rsid w:val="001E291E"/>
    <w:rsid w:val="001E2BE5"/>
    <w:rsid w:val="001E2D55"/>
    <w:rsid w:val="001E3749"/>
    <w:rsid w:val="001E4E20"/>
    <w:rsid w:val="001E50E6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4E27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0E86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389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76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0F4E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1A9E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3E2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23C6"/>
    <w:rsid w:val="005132FB"/>
    <w:rsid w:val="00513669"/>
    <w:rsid w:val="00513BB6"/>
    <w:rsid w:val="005141F9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10F"/>
    <w:rsid w:val="005D35AC"/>
    <w:rsid w:val="005D3A8E"/>
    <w:rsid w:val="005D400C"/>
    <w:rsid w:val="005D4574"/>
    <w:rsid w:val="005D4649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98E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8C5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697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921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7D4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974E1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AEC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F5D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DBE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5952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1085"/>
    <w:rsid w:val="009729E9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A28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B7D29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2C11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48F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145"/>
    <w:rsid w:val="00B26485"/>
    <w:rsid w:val="00B2753E"/>
    <w:rsid w:val="00B303DB"/>
    <w:rsid w:val="00B30780"/>
    <w:rsid w:val="00B307E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48D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12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184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0B06"/>
    <w:rsid w:val="00BA22EB"/>
    <w:rsid w:val="00BA26AA"/>
    <w:rsid w:val="00BA2922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09AD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0BF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21FF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0341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246A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313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2CD2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6F89"/>
    <w:rsid w:val="00EB728F"/>
    <w:rsid w:val="00EB761B"/>
    <w:rsid w:val="00EB7804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698"/>
    <w:rsid w:val="00F02B01"/>
    <w:rsid w:val="00F032D0"/>
    <w:rsid w:val="00F04286"/>
    <w:rsid w:val="00F043D3"/>
    <w:rsid w:val="00F043DB"/>
    <w:rsid w:val="00F05035"/>
    <w:rsid w:val="00F05099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01A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7C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6B8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7A9E5-88A9-468D-9AFD-FC3D3B9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2018-04-17T17:37:00Z</dcterms:created>
  <dcterms:modified xsi:type="dcterms:W3CDTF">2018-04-20T18:04:00Z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