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الثقافة الإسلاميه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84B75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84B75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E84B75" w:rsidRPr="00E84B75">
              <w:rPr>
                <w:rFonts w:ascii="Arial" w:hAnsi="Arial" w:cs="AL-Mohanad"/>
                <w:b/>
                <w:color w:val="4F81BD" w:themeColor="accent1"/>
                <w:sz w:val="28"/>
                <w:szCs w:val="28"/>
                <w:rtl/>
              </w:rPr>
              <w:t>النظم الإسلامية</w:t>
            </w:r>
            <w:r w:rsidR="00E84B75" w:rsidRPr="00E84B75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84B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</w:t>
            </w:r>
            <w:r w:rsidR="00E84B75" w:rsidRPr="00E84B75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E84B75" w:rsidRPr="00E84B75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ـ </w:t>
            </w:r>
            <w:r w:rsidR="00E84B75" w:rsidRPr="00E84B75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ثقف 102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/>
                <w:bCs/>
                <w:color w:val="4F81BD" w:themeColor="accent1"/>
                <w:sz w:val="18"/>
                <w:lang w:val="en-US"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1) المدخل: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أ- تحديد مصطلح النظم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ب- تشريع النظم في الإسلام  وفي العلمانية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ج- بيان شمول الشريعة الإسلامية وكمالها وخلودها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E8014E" w:rsidRDefault="00E84B75" w:rsidP="00E84B7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84B75" w:rsidRDefault="00E84B75" w:rsidP="00E84B7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E84B75" w:rsidRPr="00E8014E" w:rsidRDefault="00E84B75" w:rsidP="00E84B75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E84B75" w:rsidRDefault="00E84B75" w:rsidP="00E84B7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E84B75" w:rsidRPr="00E8014E" w:rsidRDefault="00E84B75" w:rsidP="00E84B75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84B75" w:rsidRPr="00E8014E" w:rsidRDefault="00E84B75" w:rsidP="00E84B7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/>
                <w:bCs/>
                <w:color w:val="4F81BD" w:themeColor="accent1"/>
                <w:sz w:val="18"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2) النظام الخلقي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lastRenderedPageBreak/>
              <w:t xml:space="preserve">         أ- مقياس الخير والشر ( معيار القيم )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  -  في الإسلام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- في الأنظمة الخلقية الوضعية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lastRenderedPageBreak/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lastRenderedPageBreak/>
              <w:t xml:space="preserve">      ب- مصدر الإلزام الخلقي: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- في الإسلام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- في الأنظمة الوضعية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ج- نماذج تطبيقية من سيرة الرسول صلى الله عليه وسلم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3) النظام الاجتماعي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أ- مقوماته ( أساسه الفطري والعقدي – التعارف - الأخوة - الأمر 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بالمعروف والنهي عن المنكر – الحقوق الأخلاقية )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ب- الفرد والجماعة ( الحقوق والواجبات 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ج -  الأسرة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- دعائمها 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-  حقوقها ( بين الزوجين- بين الآباء و الأبناء – بين ذوي الأرحام)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د- المرأة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- طبيعتها ووظيفتها 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-  بعض قضايا المرأة في الإسلام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( التعليم – العمل – تعدد الزوجات – الطلاق – الحجاب 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2</w:t>
            </w:r>
          </w:p>
        </w:tc>
        <w:tc>
          <w:tcPr>
            <w:tcW w:w="1087" w:type="dxa"/>
          </w:tcPr>
          <w:p w:rsidR="00E84B75" w:rsidRPr="00A47A33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  <w:rtl/>
                <w:lang w:val="en-US"/>
              </w:rPr>
            </w:pPr>
            <w:r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4) النظام السياسي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أ- مقوماته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-  مقوماته العقدية ومناقشة العلمانية في الحكم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-  -مقوماته الدستورية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( اختيار الحاكم – البيعة – الشورى – حماية الحقوق الأساسية – الطاعة 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2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ب- الدولة في الإسلام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-   عناصرها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  .  السلطة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( خصائص الحاكم – أنواع السلطات وحدودها – وظيفة السلطة )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.  الرعية :  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 ( حقوقها وواجباتها )   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.   الأرض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lastRenderedPageBreak/>
              <w:t xml:space="preserve"> -   علاقة الدولة المسلمة بالدول الأخرى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-   نشأة  دولة الإسلام في عهد الرسول صلى الله عليه وسلم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lastRenderedPageBreak/>
              <w:t>3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/>
                <w:bCs/>
                <w:color w:val="4F81BD" w:themeColor="accent1"/>
                <w:sz w:val="18"/>
                <w:lang w:val="en-US"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lastRenderedPageBreak/>
              <w:t>1) المدخل: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أ- تحديد مصطلح النظم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ب- تشريع النظم في الإسلام  وفي العلمانية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ج- بيان شمول الشريعة الإسلامية وكمالها وخلودها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  <w:vMerge w:val="restart"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  <w:color w:val="00B050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rtl/>
              </w:rPr>
              <w:t>نظراً لتقديم الاختبارات</w:t>
            </w:r>
          </w:p>
        </w:tc>
      </w:tr>
      <w:tr w:rsidR="00E84B75" w:rsidRPr="00E8014E" w:rsidTr="00E84B7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/>
                <w:bCs/>
                <w:color w:val="4F81BD" w:themeColor="accent1"/>
                <w:sz w:val="18"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2) النظام الخلقي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 أ- مقياس الخير والشر ( معيار القيم ) :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  -  في الإسلام</w:t>
            </w:r>
          </w:p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 xml:space="preserve">        - في الأنظمة الخلقية الوضعية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75" w:rsidRPr="00E84B75" w:rsidRDefault="00E84B75" w:rsidP="00E84B75">
            <w:pPr>
              <w:bidi/>
              <w:ind w:left="56"/>
              <w:jc w:val="lowKashida"/>
              <w:rPr>
                <w:rFonts w:cs="AL-Mohanad" w:hint="cs"/>
                <w:bCs/>
                <w:color w:val="4F81BD" w:themeColor="accent1"/>
                <w:sz w:val="18"/>
                <w:rtl/>
              </w:rPr>
            </w:pPr>
            <w:r w:rsidRPr="00E84B75">
              <w:rPr>
                <w:rFonts w:cs="AL-Mohanad" w:hint="cs"/>
                <w:bCs/>
                <w:color w:val="4F81BD" w:themeColor="accent1"/>
                <w:sz w:val="18"/>
                <w:rtl/>
              </w:rPr>
              <w:t>1</w:t>
            </w:r>
          </w:p>
        </w:tc>
        <w:tc>
          <w:tcPr>
            <w:tcW w:w="1087" w:type="dxa"/>
          </w:tcPr>
          <w:p w:rsidR="00E84B75" w:rsidRPr="006A6F6C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  <w:vMerge/>
          </w:tcPr>
          <w:p w:rsidR="00E84B75" w:rsidRPr="006A6F6C" w:rsidRDefault="00E84B75" w:rsidP="00E84B75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746"/>
        <w:gridCol w:w="2009"/>
        <w:gridCol w:w="2857"/>
      </w:tblGrid>
      <w:tr w:rsidR="00B82FD8" w:rsidRPr="00E8014E" w:rsidTr="00CE6C69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3746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12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84B75" w:rsidRPr="00E8014E" w:rsidTr="00CE6C69">
        <w:tc>
          <w:tcPr>
            <w:tcW w:w="748" w:type="dxa"/>
          </w:tcPr>
          <w:p w:rsidR="00E84B75" w:rsidRPr="00857BFF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1-توصيف للمعارف المراد اكتسابها:</w:t>
            </w:r>
          </w:p>
        </w:tc>
        <w:tc>
          <w:tcPr>
            <w:tcW w:w="2009" w:type="dxa"/>
            <w:vMerge w:val="restart"/>
            <w:vAlign w:val="center"/>
          </w:tcPr>
          <w:p w:rsidR="00E84B75" w:rsidRPr="00E84B75" w:rsidRDefault="00E84B75" w:rsidP="00E84B75">
            <w:p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</w:p>
          <w:p w:rsidR="00E84B75" w:rsidRPr="00E84B75" w:rsidRDefault="00E84B75" w:rsidP="00E84B75">
            <w:pPr>
              <w:pBdr>
                <w:bar w:val="nil"/>
              </w:pBdr>
              <w:tabs>
                <w:tab w:val="left" w:pos="41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7" w:type="dxa"/>
          </w:tcPr>
          <w:p w:rsidR="00E84B75" w:rsidRDefault="00E84B75" w:rsidP="00E84B7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CE6C69">
        <w:tc>
          <w:tcPr>
            <w:tcW w:w="748" w:type="dxa"/>
          </w:tcPr>
          <w:p w:rsidR="00E84B75" w:rsidRPr="00857BFF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أن يتعرف الطالب على حقيقة النظام الخلقي ومقوماته في الإسلام.</w:t>
            </w: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E84B75" w:rsidRDefault="00E84B75" w:rsidP="00E84B7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CE6C69">
        <w:tc>
          <w:tcPr>
            <w:tcW w:w="748" w:type="dxa"/>
          </w:tcPr>
          <w:p w:rsidR="00E84B75" w:rsidRPr="00857BFF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أن يتعرف الطالب على حقيقة النظام الاجتماعي ومقوماته في الإسلام.</w:t>
            </w: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E84B75" w:rsidRDefault="00E84B75" w:rsidP="00E84B7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CE6C69">
        <w:tc>
          <w:tcPr>
            <w:tcW w:w="748" w:type="dxa"/>
          </w:tcPr>
          <w:p w:rsidR="00E84B75" w:rsidRPr="00857BFF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أن يتعرف الطالب على حقيقة النظام السياسي ومقوماته في الإسلام.</w:t>
            </w: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E84B75" w:rsidRDefault="00E84B75" w:rsidP="00E84B7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CE6C69">
        <w:tc>
          <w:tcPr>
            <w:tcW w:w="748" w:type="dxa"/>
          </w:tcPr>
          <w:p w:rsidR="00E84B75" w:rsidRPr="00857BFF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أن يتعرف الطالب على تميز النظم الإسلامية عن غيرها</w:t>
            </w: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Default="00E84B75" w:rsidP="00E84B7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CE6C69">
        <w:tc>
          <w:tcPr>
            <w:tcW w:w="748" w:type="dxa"/>
          </w:tcPr>
          <w:p w:rsidR="00E84B75" w:rsidRPr="00857BFF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Default="00E84B75" w:rsidP="00E84B7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 xml:space="preserve">2-استراتيجيات التدريس المستخدمة لتنمية تلك المعارف: </w:t>
            </w:r>
          </w:p>
        </w:tc>
        <w:tc>
          <w:tcPr>
            <w:tcW w:w="2009" w:type="dxa"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الحوار والمناقشة.</w:t>
            </w:r>
          </w:p>
        </w:tc>
        <w:tc>
          <w:tcPr>
            <w:tcW w:w="2009" w:type="dxa"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المحاضرة.</w:t>
            </w:r>
          </w:p>
        </w:tc>
        <w:tc>
          <w:tcPr>
            <w:tcW w:w="2009" w:type="dxa"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</w:p>
        </w:tc>
        <w:tc>
          <w:tcPr>
            <w:tcW w:w="2009" w:type="dxa"/>
            <w:vMerge w:val="restart"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3-طرق تقويم المعارف المكتسبة:</w:t>
            </w: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المشاركات داخل القاعة.</w:t>
            </w: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بحوث  صغيرة.</w:t>
            </w:r>
          </w:p>
        </w:tc>
        <w:tc>
          <w:tcPr>
            <w:tcW w:w="2009" w:type="dxa"/>
            <w:vMerge w:val="restart"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4B75" w:rsidRPr="00E8014E" w:rsidTr="00CE6C69">
        <w:tc>
          <w:tcPr>
            <w:tcW w:w="748" w:type="dxa"/>
          </w:tcPr>
          <w:p w:rsidR="00E84B75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</w:tcPr>
          <w:p w:rsidR="00E84B75" w:rsidRPr="00E84B75" w:rsidRDefault="00E84B75" w:rsidP="00E84B75">
            <w:pPr>
              <w:rPr>
                <w:color w:val="4F81BD" w:themeColor="accent1"/>
                <w:rtl/>
              </w:rPr>
            </w:pPr>
            <w:r w:rsidRPr="00E84B75">
              <w:rPr>
                <w:color w:val="4F81BD" w:themeColor="accent1"/>
                <w:rtl/>
              </w:rPr>
              <w:t>دراسة مقالات.</w:t>
            </w:r>
          </w:p>
        </w:tc>
        <w:tc>
          <w:tcPr>
            <w:tcW w:w="2009" w:type="dxa"/>
            <w:vMerge/>
          </w:tcPr>
          <w:p w:rsidR="00E84B75" w:rsidRPr="00E8014E" w:rsidRDefault="00E84B75" w:rsidP="00E84B7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84B75" w:rsidRPr="00074D80" w:rsidRDefault="00E84B75" w:rsidP="00E84B7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B8723D" w:rsidRPr="00E8014E" w:rsidTr="00CE6C69">
        <w:tc>
          <w:tcPr>
            <w:tcW w:w="748" w:type="dxa"/>
          </w:tcPr>
          <w:p w:rsidR="00B8723D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746" w:type="dxa"/>
            <w:vAlign w:val="center"/>
          </w:tcPr>
          <w:p w:rsidR="00B8723D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</w:tc>
        <w:tc>
          <w:tcPr>
            <w:tcW w:w="2009" w:type="dxa"/>
          </w:tcPr>
          <w:p w:rsidR="00B8723D" w:rsidRPr="00E8014E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B8723D" w:rsidRPr="00074D80" w:rsidRDefault="00B8723D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AE3026" w:rsidRPr="00E8014E" w:rsidTr="00CE6C69">
        <w:tc>
          <w:tcPr>
            <w:tcW w:w="748" w:type="dxa"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توصيف للمهارات 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إدراكية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المراد تنميتها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يكتسب لطالب مهارة استنباط خصائص النظم الإسلامية ومميزاتها وثمرتها.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يكتسب الطالب القدرة على المقارنة بين النظم الإسلامية وبين النظم الغربية.</w:t>
            </w:r>
          </w:p>
          <w:p w:rsidR="00AE3026" w:rsidRPr="00EE54E1" w:rsidRDefault="00AE3026" w:rsidP="00AE3026">
            <w:pPr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AE3026" w:rsidRPr="00E8014E" w:rsidRDefault="00AE3026" w:rsidP="00CE6C69">
            <w:pPr>
              <w:pStyle w:val="ad"/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AE3026" w:rsidRPr="00E8014E" w:rsidRDefault="00AE3026" w:rsidP="00AE3026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AE3026" w:rsidRPr="00E8014E" w:rsidTr="00CE6C69">
        <w:tc>
          <w:tcPr>
            <w:tcW w:w="748" w:type="dxa"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استراتيجيات التدريس المستخدمة لتنمية تلك المهارات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القراءة والاطلاع الشامل.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تكوين مجموعات عمل.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الحوار والمناقشة.</w:t>
            </w:r>
          </w:p>
          <w:p w:rsidR="00AE3026" w:rsidRPr="00EE54E1" w:rsidRDefault="00AE3026" w:rsidP="00AE3026">
            <w:pPr>
              <w:ind w:left="1370"/>
              <w:jc w:val="both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3-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طرق تقويم المهارات 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إدراكية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لدى الطلاب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بحوث صغيرة.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دراسة مقالات.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تقييم المناقشات الحوارية. </w:t>
            </w:r>
          </w:p>
          <w:p w:rsidR="00AE3026" w:rsidRPr="00EE54E1" w:rsidRDefault="00AE3026" w:rsidP="00AE3026">
            <w:pPr>
              <w:ind w:left="1370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توصيف للمهارات 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إدراكية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المراد تنميتها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يكتسب لطالب مهارة استنباط خصائص النظم الإسلامية ومميزاتها وثمرتها.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يكتسب الطالب القدرة على المقارنة بين النظم الإسلامية وبين النظم الغربية.</w:t>
            </w:r>
          </w:p>
          <w:p w:rsidR="00AE3026" w:rsidRPr="00EE54E1" w:rsidRDefault="00AE3026" w:rsidP="00AE3026">
            <w:pPr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استراتيجيات التدريس المستخدمة لتنمية تلك المهارات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القراءة والاطلاع الشامل.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تكوين مجموعات عمل.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الحوار والمناقشة.</w:t>
            </w:r>
          </w:p>
          <w:p w:rsidR="00AE3026" w:rsidRPr="00EE54E1" w:rsidRDefault="00AE3026" w:rsidP="00AE3026">
            <w:pPr>
              <w:ind w:left="1370"/>
              <w:jc w:val="both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3-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طرق تقويم المهارات 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إدراكية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لدى الطلاب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بحوث صغيرة.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دراسة مقالات.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تقييم المناقشات الحوارية. </w:t>
            </w:r>
          </w:p>
          <w:p w:rsidR="00AE3026" w:rsidRPr="00EE54E1" w:rsidRDefault="00AE3026" w:rsidP="00AE3026">
            <w:pPr>
              <w:ind w:left="1370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توصيف للمهارات 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إدراكية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المراد تنميتها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يكتسب لطالب مهارة استنباط خصائص النظم الإسلامية ومميزاتها وثمرتها.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أن يكتسب الطالب القدرة على المقارنة بين النظم الإسلامية </w:t>
            </w: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lastRenderedPageBreak/>
              <w:t>وبين النظم الغربية.</w:t>
            </w:r>
          </w:p>
          <w:p w:rsidR="00AE3026" w:rsidRPr="00EE54E1" w:rsidRDefault="00AE3026" w:rsidP="00AE3026">
            <w:pPr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استراتيجيات التدريس المستخدمة لتنمية تلك المهارات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القراءة والاطلاع الشامل.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تكوين مجموعات عمل.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الحوار والمناقشة.</w:t>
            </w:r>
          </w:p>
          <w:p w:rsidR="00AE3026" w:rsidRPr="00EE54E1" w:rsidRDefault="00AE3026" w:rsidP="00AE3026">
            <w:pPr>
              <w:ind w:left="1370"/>
              <w:jc w:val="both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3-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طرق تقويم المهارات 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إدراكية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لدى الطلاب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بحوث صغيرة.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دراسة مقالات.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تقييم المناقشات الحوارية. </w:t>
            </w:r>
          </w:p>
          <w:p w:rsidR="00AE3026" w:rsidRPr="00EE54E1" w:rsidRDefault="00AE3026" w:rsidP="00AE3026">
            <w:pPr>
              <w:ind w:left="1370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توصيف للمهارات 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إدراكية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المراد تنميتها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يكتسب لطالب مهارة استنباط خصائص النظم الإسلامية ومميزاتها وثمرتها.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يكتسب الطالب القدرة على المقارنة بين النظم الإسلامية وبين النظم الغربية.</w:t>
            </w:r>
          </w:p>
          <w:p w:rsidR="00AE3026" w:rsidRPr="00EE54E1" w:rsidRDefault="00AE3026" w:rsidP="00AE3026">
            <w:pPr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857BFF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CE6C69">
        <w:tc>
          <w:tcPr>
            <w:tcW w:w="748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3746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009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1-وصف لمهارات العلاقات الشخصية والقدرة على تحمل المسؤولية المطلوب تطويرها: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lastRenderedPageBreak/>
              <w:t>أن يكون الطالب قادرا على العمل والتفاعل ضمن مجموعة.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 استخدام مهارة الاتصال.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التفاعل مع محيط القاعة.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قبول النقد والاستفادة منه</w:t>
            </w:r>
          </w:p>
          <w:p w:rsidR="00AE3026" w:rsidRPr="00EE54E1" w:rsidRDefault="00AE3026" w:rsidP="00AE3026">
            <w:pPr>
              <w:ind w:left="1647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</w:tcPr>
          <w:p w:rsidR="00AE3026" w:rsidRPr="00E8014E" w:rsidRDefault="00AE3026" w:rsidP="00AE3026">
            <w:pPr>
              <w:pStyle w:val="ad"/>
              <w:pBdr>
                <w:bar w:val="nil"/>
              </w:pBdr>
              <w:tabs>
                <w:tab w:val="left" w:pos="192"/>
              </w:tabs>
              <w:bidi/>
              <w:ind w:left="502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2-استراتيجيات التعليم المستخدمة في تطوير هذه المهارات: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مجموعة العمل.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الحوار والمناقشة المفتوحة.</w:t>
            </w:r>
          </w:p>
          <w:p w:rsidR="00AE3026" w:rsidRPr="00EE54E1" w:rsidRDefault="00AE3026" w:rsidP="00AE3026">
            <w:pPr>
              <w:ind w:left="1647"/>
              <w:jc w:val="both"/>
              <w:rPr>
                <w:rFonts w:ascii="Arial" w:hAnsi="Arial" w:cs="AL-Mohana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E8014E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3-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طرق تقويم مهارات التعامل مع الآخرين والقدرة على تحمل المسؤولية لدى الطلاب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التقييم الذاتي.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تقييم المجموعات بعضهم البعض.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الملاحظة المباشرة للحوارات والمناقشات داخل القاعة وخارجها.</w:t>
            </w:r>
          </w:p>
          <w:p w:rsidR="00AE3026" w:rsidRPr="00EE54E1" w:rsidRDefault="00AE3026" w:rsidP="00AE3026">
            <w:pPr>
              <w:ind w:left="1647"/>
              <w:jc w:val="both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E8014E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1-وصف لمهارات العلاقات الشخصية والقدرة على تحمل المسؤولية المطلوب تطويرها: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أن يكون الطالب قادرا على </w:t>
            </w: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lastRenderedPageBreak/>
              <w:t>العمل والتفاعل ضمن مجموعة.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 استخدام مهارة الاتصال.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التفاعل مع محيط القاعة.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قبول النقد والاستفادة منه</w:t>
            </w:r>
          </w:p>
          <w:p w:rsidR="00AE3026" w:rsidRPr="00EE54E1" w:rsidRDefault="00AE3026" w:rsidP="00AE3026">
            <w:pPr>
              <w:ind w:left="1647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E8014E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2-استراتيجيات التعليم المستخدمة في تطوير هذه المهارات: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مجموعة العمل.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الحوار والمناقشة المفتوحة.</w:t>
            </w:r>
          </w:p>
          <w:p w:rsidR="00AE3026" w:rsidRPr="00EE54E1" w:rsidRDefault="00AE3026" w:rsidP="00AE3026">
            <w:pPr>
              <w:ind w:left="1647"/>
              <w:jc w:val="both"/>
              <w:rPr>
                <w:rFonts w:ascii="Arial" w:hAnsi="Arial" w:cs="AL-Mohana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E8014E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3-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طرق تقويم مهارات التعامل مع الآخرين والقدرة على تحمل المسؤولية لدى الطلاب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التقييم الذاتي.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تقييم المجموعات بعضهم البعض.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الملاحظة المباشرة للحوارات والمناقشات داخل القاعة وخارجها.</w:t>
            </w:r>
          </w:p>
          <w:p w:rsidR="00AE3026" w:rsidRPr="00EE54E1" w:rsidRDefault="00AE3026" w:rsidP="00AE3026">
            <w:pPr>
              <w:ind w:left="1647"/>
              <w:jc w:val="both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E8014E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1-وصف لمهارات العلاقات الشخصية والقدرة على تحمل المسؤولية المطلوب تطويرها: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العمل والتفاعل ضمن مجموعة.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lastRenderedPageBreak/>
              <w:t>أن يكون الطالب قادرا على  استخدام مهارة الاتصال.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التفاعل مع محيط القاعة.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قبول النقد والاستفادة منه</w:t>
            </w:r>
          </w:p>
          <w:p w:rsidR="00AE3026" w:rsidRPr="00EE54E1" w:rsidRDefault="00AE3026" w:rsidP="00AE3026">
            <w:pPr>
              <w:ind w:left="1647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E8014E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E3026" w:rsidRPr="00E8014E" w:rsidTr="00CE6C69">
        <w:tc>
          <w:tcPr>
            <w:tcW w:w="748" w:type="dxa"/>
            <w:vAlign w:val="center"/>
          </w:tcPr>
          <w:p w:rsidR="00AE3026" w:rsidRPr="003B42CB" w:rsidRDefault="00AE3026" w:rsidP="00AE3026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3.8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6" w:rsidRPr="00EE54E1" w:rsidRDefault="00AE3026" w:rsidP="00AE3026">
            <w:pPr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2-استراتيجيات التعليم المستخدمة في تطوير هذه المهارات: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مجموعة العمل.</w:t>
            </w:r>
          </w:p>
          <w:p w:rsidR="00AE3026" w:rsidRPr="00EE54E1" w:rsidRDefault="00AE3026" w:rsidP="00AE302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الحوار والمناقشة المفتوحة.</w:t>
            </w:r>
          </w:p>
          <w:p w:rsidR="00AE3026" w:rsidRPr="00EE54E1" w:rsidRDefault="00AE3026" w:rsidP="00AE3026">
            <w:pPr>
              <w:ind w:left="1647"/>
              <w:jc w:val="both"/>
              <w:rPr>
                <w:rFonts w:ascii="Arial" w:hAnsi="Arial" w:cs="AL-Mohana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AE3026" w:rsidRPr="00E8014E" w:rsidRDefault="00AE3026" w:rsidP="00AE302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E3026" w:rsidRDefault="00AE3026" w:rsidP="00AE3026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CE6C69" w:rsidRPr="00E8014E" w:rsidTr="00114B92">
        <w:tc>
          <w:tcPr>
            <w:tcW w:w="748" w:type="dxa"/>
          </w:tcPr>
          <w:p w:rsidR="00CE6C69" w:rsidRPr="00857BFF" w:rsidRDefault="00CE6C69" w:rsidP="00CE6C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9" w:rsidRPr="00EE54E1" w:rsidRDefault="00CE6C69" w:rsidP="00CE6C69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توصيف للمهارات المراد تنميتها في هذا المجال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الاستفادة العلمية عبر الشبكة المعلوماتية.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التواصل العلمي مع محيط الجامعة وغيره عبر الشبكة المعلوماتية.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تقديم الواجبات باستخدام وسائل التقنية الحديثة.</w:t>
            </w:r>
          </w:p>
          <w:p w:rsidR="00CE6C69" w:rsidRPr="00EE54E1" w:rsidRDefault="00CE6C69" w:rsidP="00CE6C69">
            <w:pPr>
              <w:ind w:left="1647"/>
              <w:jc w:val="both"/>
              <w:rPr>
                <w:rFonts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CE6C69" w:rsidRPr="00E8014E" w:rsidRDefault="00CE6C69" w:rsidP="00CE6C69">
            <w:pPr>
              <w:pStyle w:val="ad"/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83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bookmarkStart w:id="1" w:name="LastPosition"/>
            <w:bookmarkEnd w:id="1"/>
          </w:p>
          <w:p w:rsidR="00CE6C69" w:rsidRPr="00CE6C69" w:rsidRDefault="00CE6C69" w:rsidP="00CE6C69">
            <w:p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47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57" w:type="dxa"/>
          </w:tcPr>
          <w:p w:rsidR="00CE6C69" w:rsidRDefault="00CE6C69" w:rsidP="00CE6C69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E6C69" w:rsidRPr="00E8014E" w:rsidTr="00114B92">
        <w:tc>
          <w:tcPr>
            <w:tcW w:w="748" w:type="dxa"/>
          </w:tcPr>
          <w:p w:rsidR="00CE6C69" w:rsidRPr="00857BFF" w:rsidRDefault="00CE6C69" w:rsidP="00CE6C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9" w:rsidRPr="00EE54E1" w:rsidRDefault="00CE6C69" w:rsidP="00CE6C69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استراتيجيات التدريس المستخدمة لتنمية تلك المهارات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lastRenderedPageBreak/>
              <w:t>البحث عن المادة العلمية وعرضها من خلال الشبكة المعلوماتية  في القاعة.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عرض التجارب الشخصية في التواصل العلمي من خلال الشبكة المعلوماتية.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التواصل بين طلاب القاعة بعضهم البعض، وبينهم وبين الأستاذ إلكترونيا.</w:t>
            </w:r>
          </w:p>
          <w:p w:rsidR="00CE6C69" w:rsidRPr="00EE54E1" w:rsidRDefault="00CE6C69" w:rsidP="00CE6C69">
            <w:pPr>
              <w:ind w:left="1647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CE6C69" w:rsidRPr="00E8014E" w:rsidRDefault="00CE6C69" w:rsidP="00CE6C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CE6C69" w:rsidRDefault="00CE6C69" w:rsidP="00CE6C69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E6C69" w:rsidRPr="00E8014E" w:rsidTr="00114B92">
        <w:tc>
          <w:tcPr>
            <w:tcW w:w="748" w:type="dxa"/>
          </w:tcPr>
          <w:p w:rsidR="00CE6C69" w:rsidRPr="00857BFF" w:rsidRDefault="00CE6C69" w:rsidP="00CE6C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9" w:rsidRPr="00EE54E1" w:rsidRDefault="00CE6C69" w:rsidP="00CE6C69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3-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طرق تقويم المهارات العددية ومهارات التواصل لدى الطلاب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 اشتراط  تقديم الواجبات باستخدام وسائل التقنية الحديثة وتقيمها بناء على ذلك.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بحث عن مادة علمية يشترك فيها جميع طلاب القاعة من خلال الشبكة المعلوماتية، وتقييم الأداء من قبل الأستاذ والطلاب. </w:t>
            </w:r>
          </w:p>
          <w:p w:rsidR="00CE6C69" w:rsidRPr="00EE54E1" w:rsidRDefault="00CE6C69" w:rsidP="00CE6C69">
            <w:pPr>
              <w:ind w:left="1647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CE6C69" w:rsidRPr="00E8014E" w:rsidRDefault="00CE6C69" w:rsidP="00CE6C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CE6C69" w:rsidRDefault="00CE6C69" w:rsidP="00CE6C69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E6C69" w:rsidRPr="00E8014E" w:rsidTr="00114B92">
        <w:tc>
          <w:tcPr>
            <w:tcW w:w="748" w:type="dxa"/>
            <w:vAlign w:val="center"/>
          </w:tcPr>
          <w:p w:rsidR="00CE6C69" w:rsidRPr="003B42CB" w:rsidRDefault="00CE6C69" w:rsidP="00CE6C6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9" w:rsidRPr="00EE54E1" w:rsidRDefault="00CE6C69" w:rsidP="00CE6C69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1-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توصيف للمهارات المراد تنميتها في هذا المجال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الاستفادة العلمية عبر الشبكة المعلوماتية.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أن يكون الطالب قادرا على التواصل العلمي مع محيط </w:t>
            </w: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lastRenderedPageBreak/>
              <w:t>الجامعة وغيره عبر الشبكة المعلوماتية.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أن يكون الطالب قادرا على تقديم الواجبات باستخدام وسائل التقنية الحديثة.</w:t>
            </w:r>
          </w:p>
          <w:p w:rsidR="00CE6C69" w:rsidRPr="00EE54E1" w:rsidRDefault="00CE6C69" w:rsidP="00CE6C69">
            <w:pPr>
              <w:ind w:left="1647"/>
              <w:jc w:val="both"/>
              <w:rPr>
                <w:rFonts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CE6C69" w:rsidRPr="00E8014E" w:rsidRDefault="00CE6C69" w:rsidP="00CE6C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CE6C69" w:rsidRDefault="00CE6C69" w:rsidP="00CE6C69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E6C69" w:rsidRPr="00E8014E" w:rsidTr="00114B92">
        <w:tc>
          <w:tcPr>
            <w:tcW w:w="748" w:type="dxa"/>
            <w:vAlign w:val="center"/>
          </w:tcPr>
          <w:p w:rsidR="00CE6C69" w:rsidRPr="003B42CB" w:rsidRDefault="00CE6C69" w:rsidP="00CE6C6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9" w:rsidRPr="00EE54E1" w:rsidRDefault="00CE6C69" w:rsidP="00CE6C69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2-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استراتيجيات التدريس المستخدمة لتنمية تلك المهارات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البحث عن المادة العلمية وعرضها من خلال الشبكة المعلوماتية  في القاعة.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عرض التجارب الشخصية في التواصل العلمي من خلال الشبكة المعلوماتية.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>التواصل بين طلاب القاعة بعضهم البعض، وبينهم وبين الأستاذ إلكترونيا.</w:t>
            </w:r>
          </w:p>
          <w:p w:rsidR="00CE6C69" w:rsidRPr="00EE54E1" w:rsidRDefault="00CE6C69" w:rsidP="00CE6C69">
            <w:pPr>
              <w:ind w:left="1647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CE6C69" w:rsidRPr="00E8014E" w:rsidRDefault="00CE6C69" w:rsidP="00CE6C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CE6C69" w:rsidRDefault="00CE6C69" w:rsidP="00CE6C69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E6C69" w:rsidRPr="00E8014E" w:rsidTr="00114B92">
        <w:tc>
          <w:tcPr>
            <w:tcW w:w="748" w:type="dxa"/>
            <w:vAlign w:val="center"/>
          </w:tcPr>
          <w:p w:rsidR="00CE6C69" w:rsidRPr="003B42CB" w:rsidRDefault="00CE6C69" w:rsidP="00CE6C6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9" w:rsidRPr="00EE54E1" w:rsidRDefault="00CE6C69" w:rsidP="00CE6C69">
            <w:pPr>
              <w:rPr>
                <w:rFonts w:ascii="Arial" w:hAnsi="Arial" w:cs="AL-Mohanad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3-</w:t>
            </w:r>
            <w:r w:rsidRPr="00EE54E1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>طرق تقويم المهارات العددية ومهارات التواصل لدى الطلاب</w:t>
            </w:r>
            <w:r w:rsidRPr="00EE54E1">
              <w:rPr>
                <w:rFonts w:ascii="Arial" w:hAnsi="Arial" w:cs="AL-Mohanad" w:hint="cs"/>
                <w:color w:val="4F81BD" w:themeColor="accent1"/>
                <w:sz w:val="32"/>
                <w:szCs w:val="32"/>
                <w:rtl/>
              </w:rPr>
              <w:t>: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 اشتراط  تقديم الواجبات باستخدام وسائل التقنية الحديثة وتقيمها بناء على ذلك.</w:t>
            </w:r>
          </w:p>
          <w:p w:rsidR="00CE6C69" w:rsidRPr="00EE54E1" w:rsidRDefault="00CE6C69" w:rsidP="00CE6C69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  <w:r w:rsidRPr="00EE54E1">
              <w:rPr>
                <w:rFonts w:ascii="Arial" w:hAnsi="Arial" w:cs="AL-Mohanad Bold" w:hint="cs"/>
                <w:color w:val="4F81BD" w:themeColor="accent1"/>
                <w:sz w:val="32"/>
                <w:szCs w:val="32"/>
                <w:rtl/>
              </w:rPr>
              <w:t xml:space="preserve">بحث عن مادة علمية يشترك فيها جميع طلاب القاعة من خلال الشبكة المعلوماتية، وتقييم الأداء من قبل الأستاذ والطلاب. </w:t>
            </w:r>
          </w:p>
          <w:p w:rsidR="00CE6C69" w:rsidRPr="00EE54E1" w:rsidRDefault="00CE6C69" w:rsidP="00CE6C69">
            <w:pPr>
              <w:ind w:left="1647"/>
              <w:jc w:val="both"/>
              <w:rPr>
                <w:rFonts w:ascii="Arial" w:hAnsi="Arial" w:cs="AL-Mohanad Bold" w:hint="cs"/>
                <w:color w:val="4F81BD" w:themeColor="accent1"/>
                <w:sz w:val="32"/>
                <w:szCs w:val="32"/>
              </w:rPr>
            </w:pPr>
          </w:p>
        </w:tc>
        <w:tc>
          <w:tcPr>
            <w:tcW w:w="2009" w:type="dxa"/>
            <w:vMerge/>
          </w:tcPr>
          <w:p w:rsidR="00CE6C69" w:rsidRPr="00E8014E" w:rsidRDefault="00CE6C69" w:rsidP="00CE6C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CE6C69" w:rsidRDefault="00CE6C69" w:rsidP="00CE6C69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lastRenderedPageBreak/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-روبركس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839"/>
        <w:gridCol w:w="715"/>
        <w:gridCol w:w="3297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CE6C69">
        <w:trPr>
          <w:cantSplit/>
          <w:trHeight w:val="575"/>
        </w:trPr>
        <w:tc>
          <w:tcPr>
            <w:tcW w:w="4509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4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97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CE6C69">
        <w:trPr>
          <w:cantSplit/>
          <w:trHeight w:val="465"/>
        </w:trPr>
        <w:tc>
          <w:tcPr>
            <w:tcW w:w="4509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5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97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CE6C69">
        <w:trPr>
          <w:cantSplit/>
          <w:trHeight w:val="1385"/>
        </w:trPr>
        <w:tc>
          <w:tcPr>
            <w:tcW w:w="4509" w:type="dxa"/>
          </w:tcPr>
          <w:p w:rsidR="00E44CD5" w:rsidRPr="00E44CD5" w:rsidRDefault="00087AF0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توزيع موضوعات القاعه إلى مجموعات للمداخلة في كل موضوع</w:t>
            </w:r>
            <w:r w:rsidR="00E44CD5"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</w:tc>
        <w:tc>
          <w:tcPr>
            <w:tcW w:w="839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97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CE6C69">
        <w:trPr>
          <w:cantSplit/>
          <w:trHeight w:val="1390"/>
        </w:trPr>
        <w:tc>
          <w:tcPr>
            <w:tcW w:w="4509" w:type="dxa"/>
            <w:vAlign w:val="center"/>
          </w:tcPr>
          <w:p w:rsidR="00E44CD5" w:rsidRPr="00E44CD5" w:rsidRDefault="00087AF0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حوار عام لجميع القاعة لمجموعات التحضير والإلقاء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839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97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CE6C69">
        <w:trPr>
          <w:cantSplit/>
          <w:trHeight w:val="1390"/>
        </w:trPr>
        <w:tc>
          <w:tcPr>
            <w:tcW w:w="4509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إشرف </w:t>
            </w: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أستاذ المقرر على القاعه والتعليق على المادة العلميه وتوجيه الحوار</w:t>
            </w:r>
          </w:p>
        </w:tc>
        <w:tc>
          <w:tcPr>
            <w:tcW w:w="839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97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CE6C69">
        <w:trPr>
          <w:cantSplit/>
          <w:trHeight w:val="1322"/>
        </w:trPr>
        <w:tc>
          <w:tcPr>
            <w:tcW w:w="4509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المحاضرة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839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97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الجامعة ،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E84B75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31" w:rsidRDefault="00865531">
      <w:r>
        <w:separator/>
      </w:r>
    </w:p>
  </w:endnote>
  <w:endnote w:type="continuationSeparator" w:id="0">
    <w:p w:rsidR="00865531" w:rsidRDefault="0086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75" w:rsidRPr="00E85FEB" w:rsidRDefault="00E84B75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84B75" w:rsidRDefault="00E84B75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C69" w:rsidRPr="00CE6C69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E84B75" w:rsidRPr="0094487B" w:rsidRDefault="00E84B75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75" w:rsidRPr="00BD314D" w:rsidRDefault="00E84B75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84B75" w:rsidRDefault="00E84B75" w:rsidP="003A369E">
    <w:pPr>
      <w:pStyle w:val="a3"/>
      <w:bidi/>
    </w:pPr>
  </w:p>
  <w:p w:rsidR="00E84B75" w:rsidRDefault="00E84B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31" w:rsidRDefault="00865531">
      <w:r>
        <w:separator/>
      </w:r>
    </w:p>
  </w:footnote>
  <w:footnote w:type="continuationSeparator" w:id="0">
    <w:p w:rsidR="00865531" w:rsidRDefault="0086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75" w:rsidRDefault="00E84B75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B75" w:rsidRPr="00E9121F" w:rsidRDefault="00E84B75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97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0FFF"/>
    <w:multiLevelType w:val="multilevel"/>
    <w:tmpl w:val="8FD0C08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hint="default"/>
        <w:lang w:bidi="ar-SA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B30C47"/>
    <w:multiLevelType w:val="hybridMultilevel"/>
    <w:tmpl w:val="4CA6E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529"/>
    <w:multiLevelType w:val="hybridMultilevel"/>
    <w:tmpl w:val="1018EA34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15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2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AF0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0BB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1D7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39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531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A33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026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23D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6C69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8B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4B75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8A53B-5817-42F8-946F-009BC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B17104-02AB-4956-881A-446F2A53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2018</Words>
  <Characters>11509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هند سعد عبدالرحمن ابوحيمد</cp:lastModifiedBy>
  <cp:revision>2</cp:revision>
  <cp:lastPrinted>2016-01-19T12:24:00Z</cp:lastPrinted>
  <dcterms:created xsi:type="dcterms:W3CDTF">2018-04-16T04:41:00Z</dcterms:created>
  <dcterms:modified xsi:type="dcterms:W3CDTF">2018-04-16T04:41:00Z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