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402566">
        <w:rPr>
          <w:rFonts w:ascii="Traditional Arabic" w:hAnsi="Traditional Arabic" w:cs="Traditional Arabic" w:hint="cs"/>
          <w:sz w:val="32"/>
          <w:szCs w:val="32"/>
          <w:rtl/>
        </w:rPr>
        <w:t>اخلاقيات</w:t>
      </w:r>
      <w:proofErr w:type="gramEnd"/>
      <w:r w:rsidR="00402566">
        <w:rPr>
          <w:rFonts w:ascii="Traditional Arabic" w:hAnsi="Traditional Arabic" w:cs="Traditional Arabic" w:hint="cs"/>
          <w:sz w:val="32"/>
          <w:szCs w:val="32"/>
          <w:rtl/>
        </w:rPr>
        <w:t xml:space="preserve"> المهنة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4025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ثقف</w:t>
      </w:r>
      <w:proofErr w:type="spellEnd"/>
      <w:proofErr w:type="gramEnd"/>
      <w:r w:rsidR="0040256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211</w:t>
      </w:r>
      <w:bookmarkStart w:id="0" w:name="_GoBack"/>
      <w:bookmarkEnd w:id="0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الثقافة </w:t>
            </w:r>
            <w:proofErr w:type="spellStart"/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الإسلاميه</w:t>
            </w:r>
            <w:proofErr w:type="spellEnd"/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29475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294751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br/>
            </w:r>
            <w:r w:rsidR="0029475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أخلاقيات</w:t>
            </w:r>
            <w:proofErr w:type="gramEnd"/>
            <w:r w:rsidR="0029475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proofErr w:type="spellStart"/>
            <w:r w:rsidR="0029475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المهنه</w:t>
            </w:r>
            <w:proofErr w:type="spellEnd"/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29475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ثقف</w:t>
            </w:r>
            <w:proofErr w:type="spellEnd"/>
            <w:proofErr w:type="gramEnd"/>
            <w:r w:rsidR="00CF68B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294751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211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E8014E" w:rsidRDefault="00B82FD8" w:rsidP="005F0AC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مدينة</w:t>
            </w:r>
            <w:proofErr w:type="spellEnd"/>
            <w:proofErr w:type="gramEnd"/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الملك عبدالله للطالبات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F68B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469"/>
        <w:gridCol w:w="650"/>
        <w:gridCol w:w="1087"/>
        <w:gridCol w:w="2846"/>
      </w:tblGrid>
      <w:tr w:rsidR="00B82FD8" w:rsidRPr="00E8014E" w:rsidTr="008D3E54">
        <w:tc>
          <w:tcPr>
            <w:tcW w:w="9360" w:type="dxa"/>
            <w:gridSpan w:val="5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gridSpan w:val="2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val="fr-FR"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val="fr-FR" w:bidi="ar-EG"/>
              </w:rPr>
              <w:t>التعريف بالمقرر ومفرداته ومصادره</w:t>
            </w:r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294751" w:rsidRPr="00E8014E" w:rsidRDefault="00294751" w:rsidP="002947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294751" w:rsidRDefault="00294751" w:rsidP="002947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294751" w:rsidRPr="00E8014E" w:rsidRDefault="00294751" w:rsidP="002947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294751" w:rsidRDefault="00294751" w:rsidP="002947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294751" w:rsidRPr="00E8014E" w:rsidRDefault="00294751" w:rsidP="002947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294751" w:rsidRPr="00E8014E" w:rsidRDefault="00294751" w:rsidP="002947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مدخل:</w:t>
            </w:r>
          </w:p>
          <w:p w:rsidR="00294751" w:rsidRPr="00A43539" w:rsidRDefault="00294751" w:rsidP="00294751">
            <w:pPr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lastRenderedPageBreak/>
              <w:t xml:space="preserve">مفهوم العمل وأهميته في الحياة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الإنسانية .</w:t>
            </w:r>
            <w:proofErr w:type="gramEnd"/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294751" w:rsidRPr="006A6F6C" w:rsidRDefault="00294751" w:rsidP="00294751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pStyle w:val="ad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lastRenderedPageBreak/>
              <w:t>مفهوم الأخلاق وأهميتها في الحياة الإنسانية.</w:t>
            </w:r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294751" w:rsidRPr="006A6F6C" w:rsidRDefault="00294751" w:rsidP="00294751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مفهوم أخلاقيات المهنة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وأهميتها .</w:t>
            </w:r>
            <w:proofErr w:type="gramEnd"/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294751" w:rsidRPr="006A6F6C" w:rsidRDefault="00294751" w:rsidP="0029475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أثر أخلاقيات المهنة في تحقيق التنمية</w:t>
            </w:r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294751" w:rsidRPr="006A6F6C" w:rsidRDefault="00294751" w:rsidP="00294751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مقومات أخلاقيات المهنة وضوابطها: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-مقومات أخلاقيات المهنة: الدين – الضمير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- المصلحة</w:t>
            </w:r>
            <w:proofErr w:type="gramEnd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-الأنظمة اللوائح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-الضوابط الشرعية للمهنة في الإسلام: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1 / المشروعية: أن تكون المهنة مشروعة.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2/ المسؤولية: أن يتصف العامل بتحمل المسؤولية.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3/ القدرة والاستطاعة: أن يكون قادراً على أدائها بكفاءة.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4/ الالتزام: أن يكون ملتزماً بأصول المهنة الفنية والأخلاقية.</w:t>
            </w:r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294751" w:rsidRPr="006A6F6C" w:rsidRDefault="00294751" w:rsidP="00294751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الأخلاق المهنية في الإسلام: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-الأخلاق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المحمودة:  (</w:t>
            </w:r>
            <w:proofErr w:type="gramEnd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الأمانة – العدل بين العاملين – الرقابة الذاتية –القيام بالمسؤولية- التواضع-الرفق في المعاملة-الحلم – الصبر –الوفاء بعقد العمل-حفظ أسرار العمل-الإتقان في العمل-الالتزام بوقت العمل-النصح والصدق مع المراجعين).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-الأخلاق المذمومة: (الغش –التقصير عن الالتزام بوقت العمل-إضاعة الوقت في غير مصلحة العمل –استغلال الوظيفة لغير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مصلحتها- إفشاء</w:t>
            </w:r>
            <w:proofErr w:type="gramEnd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 أسرار العمل-الرشوة والتزوير-الوشاية)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-طرق تعزيز الأخلاق المحمودة: (تطوير العاملين-تحقيق الرضى الوظيفي-تقديم الحوافز-التقويم المستمر)</w:t>
            </w:r>
          </w:p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-طرق معالجة الأخلاق المذمومة: (القدوة-التوعية-استثارة الشعور الديني-الرقابة-تطبيق الأنظمة-إيقاع الجزاء المناسب)</w:t>
            </w:r>
          </w:p>
        </w:tc>
        <w:tc>
          <w:tcPr>
            <w:tcW w:w="650" w:type="dxa"/>
            <w:vAlign w:val="center"/>
          </w:tcPr>
          <w:p w:rsidR="00294751" w:rsidRPr="00E8014E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294751" w:rsidRPr="006A6F6C" w:rsidRDefault="00294751" w:rsidP="00294751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BC1FE7">
        <w:tc>
          <w:tcPr>
            <w:tcW w:w="4777" w:type="dxa"/>
            <w:gridSpan w:val="2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نماذج من أخلاقيات المهنة وتطبيقاتها:</w:t>
            </w:r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lastRenderedPageBreak/>
              <w:t xml:space="preserve">في مجال التدريس والتعليم: العدل بين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الطلاب  -</w:t>
            </w:r>
            <w:proofErr w:type="gramEnd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 الرحمة- الاتقان – الصدق في التعامل .</w:t>
            </w:r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في مجال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الدعوة :</w:t>
            </w:r>
            <w:proofErr w:type="gramEnd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 الرفق - الصبر - التيسير - القدوة - الإخلاص .</w:t>
            </w:r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lang w:bidi="ar-EG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في مجال الاستشارات: المسؤولية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- حفظ</w:t>
            </w:r>
            <w:proofErr w:type="gramEnd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 xml:space="preserve"> الأسرار – النصح.</w:t>
            </w:r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  <w:lang w:bidi="ar-EG"/>
              </w:rPr>
              <w:t>في مجال القضاء: العدل بين المتخاصمين-الحكم بالعدل-</w:t>
            </w:r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 xml:space="preserve">في مجال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>الحسبة .</w:t>
            </w:r>
            <w:proofErr w:type="gramEnd"/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 xml:space="preserve">في مجال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>التحقيق .</w:t>
            </w:r>
            <w:proofErr w:type="gramEnd"/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 xml:space="preserve">في مجال الادعاء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>العام .</w:t>
            </w:r>
            <w:proofErr w:type="gramEnd"/>
          </w:p>
          <w:p w:rsidR="00294751" w:rsidRPr="00A43539" w:rsidRDefault="00294751" w:rsidP="00294751">
            <w:pPr>
              <w:pStyle w:val="ad"/>
              <w:numPr>
                <w:ilvl w:val="0"/>
                <w:numId w:val="17"/>
              </w:numPr>
              <w:bidi/>
              <w:ind w:left="714" w:hanging="357"/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 xml:space="preserve">في مجال الاستشارات </w:t>
            </w:r>
            <w:proofErr w:type="gramStart"/>
            <w:r w:rsidRPr="00A43539">
              <w:rPr>
                <w:rFonts w:ascii="Traditional Arabic" w:hAnsi="Traditional Arabic" w:cs="Traditional Arabic"/>
                <w:color w:val="4F81BD" w:themeColor="accent1"/>
                <w:sz w:val="32"/>
                <w:szCs w:val="32"/>
                <w:rtl/>
              </w:rPr>
              <w:t>الشرعية .</w:t>
            </w:r>
            <w:proofErr w:type="gramEnd"/>
          </w:p>
        </w:tc>
        <w:tc>
          <w:tcPr>
            <w:tcW w:w="650" w:type="dxa"/>
            <w:vAlign w:val="center"/>
          </w:tcPr>
          <w:p w:rsidR="00294751" w:rsidRDefault="00294751" w:rsidP="002947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6</w:t>
            </w:r>
          </w:p>
        </w:tc>
        <w:tc>
          <w:tcPr>
            <w:tcW w:w="1087" w:type="dxa"/>
          </w:tcPr>
          <w:p w:rsidR="00294751" w:rsidRPr="00A47A33" w:rsidRDefault="00294751" w:rsidP="00294751">
            <w:pPr>
              <w:jc w:val="center"/>
              <w:rPr>
                <w:rFonts w:ascii="Traditional Arabic" w:hAnsi="Traditional Arabic" w:cs="Traditional Arabic"/>
                <w:color w:val="00B050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4751" w:rsidRPr="006A6F6C" w:rsidRDefault="00294751" w:rsidP="0029475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73"/>
        <w:gridCol w:w="2882"/>
        <w:gridCol w:w="2857"/>
      </w:tblGrid>
      <w:tr w:rsidR="00B82FD8" w:rsidRPr="00E8014E" w:rsidTr="007B11D7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B11D7">
        <w:tc>
          <w:tcPr>
            <w:tcW w:w="748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12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294751" w:rsidRPr="00E8014E" w:rsidTr="001D4AA8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73" w:type="dxa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مناقشة </w:t>
            </w:r>
            <w:r w:rsidRPr="00A43539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أهمية العمل ومكانته في الإسلام</w:t>
            </w:r>
            <w:r w:rsidRPr="00A4353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82" w:type="dxa"/>
            <w:vMerge w:val="restart"/>
            <w:vAlign w:val="center"/>
          </w:tcPr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الأبحاث 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قراءة</w:t>
            </w: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أحد المراجع المهمة والتعليق عليه</w:t>
            </w: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العناصر الرئيسة للموضوع قبل بدء الشرح.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تلخيص المعلومات</w:t>
            </w: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والرسومات الشجرية </w:t>
            </w: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العصف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الذهني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الاكتشاف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المعرفي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التعلم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الذاتي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القراءة الخارجية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المنزلية.</w:t>
            </w:r>
          </w:p>
          <w:p w:rsidR="00294751" w:rsidRPr="00E8014E" w:rsidRDefault="00294751" w:rsidP="00294751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المناظرات الثقافية.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13</w:t>
            </w: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294751" w:rsidRPr="00E8014E" w:rsidTr="001D4AA8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73" w:type="dxa"/>
          </w:tcPr>
          <w:p w:rsidR="00294751" w:rsidRPr="00A43539" w:rsidRDefault="00294751" w:rsidP="0029475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توضيح </w:t>
            </w:r>
            <w:r w:rsidRPr="00A43539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أهمية الأخلاق والتلازم بينها وبين العمل</w:t>
            </w:r>
            <w:r w:rsidRPr="00A4353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1D4AA8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73" w:type="dxa"/>
          </w:tcPr>
          <w:p w:rsidR="00294751" w:rsidRPr="00A43539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ذكر </w:t>
            </w:r>
            <w:r w:rsidRPr="00A43539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مقومات أخلاقيات المهنة وضوابطها في الإسلام.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1D4AA8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1.4</w:t>
            </w:r>
          </w:p>
        </w:tc>
        <w:tc>
          <w:tcPr>
            <w:tcW w:w="2873" w:type="dxa"/>
          </w:tcPr>
          <w:p w:rsidR="00294751" w:rsidRPr="00A43539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A43539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توضيح </w:t>
            </w:r>
            <w:r w:rsidRPr="00A43539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أخلاقيات المهنة في أنظمة المملكة العربية السعودية.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294751" w:rsidRPr="00E8014E" w:rsidTr="007B11D7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التمييز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بين الأخلاقيات الإيجابية والسلبية وآثار كل منهما على العمل.</w:t>
            </w:r>
          </w:p>
        </w:tc>
        <w:tc>
          <w:tcPr>
            <w:tcW w:w="2882" w:type="dxa"/>
            <w:vMerge w:val="restart"/>
          </w:tcPr>
          <w:p w:rsidR="00294751" w:rsidRPr="00294751" w:rsidRDefault="00294751" w:rsidP="00294751">
            <w:pPr>
              <w:bidi/>
              <w:ind w:left="189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jc w:val="lowKashida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الحوار والنقاش.</w:t>
            </w:r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القاعة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 xml:space="preserve">البحث العلمي في المصادر وقواعد </w:t>
            </w:r>
            <w:proofErr w:type="gramStart"/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المعلومات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  <w:lang w:val="en-US"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  <w:lang w:val="en-US"/>
              </w:rPr>
              <w:t xml:space="preserve">التعليم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  <w:lang w:val="en-US"/>
              </w:rPr>
              <w:t>التعاوني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jc w:val="lowKashida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ضرب الأمثلة والشواهد.</w:t>
            </w:r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jc w:val="lowKashida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والتصنيف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الصفية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الصغيرة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  <w:t>الزيارات الميدانية</w:t>
            </w: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 للمعمل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الثقافي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الصفية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عرض نماذج بحثية للمحاكاة أو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النقد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حل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المشكلات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</w:rPr>
            </w:pP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المناظرات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دراسة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المقالات .</w:t>
            </w:r>
            <w:proofErr w:type="gramEnd"/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</w:rPr>
            </w:pPr>
            <w:r w:rsidRPr="00294751">
              <w:rPr>
                <w:rFonts w:ascii="Traditional Arabic" w:eastAsia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القراءة الخارجية في المراجع والمقالات. </w:t>
            </w:r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</w:rPr>
            </w:pPr>
            <w:r w:rsidRPr="00294751">
              <w:rPr>
                <w:rFonts w:ascii="Traditional Arabic" w:eastAsia="Traditional Arabic" w:hAnsi="Traditional Arabic" w:cs="Traditional Arabic" w:hint="cs"/>
                <w:color w:val="4472C4"/>
                <w:sz w:val="28"/>
                <w:szCs w:val="28"/>
                <w:rtl/>
              </w:rPr>
              <w:t>ا</w:t>
            </w:r>
            <w:r w:rsidRPr="00294751">
              <w:rPr>
                <w:rFonts w:ascii="Traditional Arabic" w:eastAsia="Traditional Arabic" w:hAnsi="Traditional Arabic" w:cs="Traditional Arabic"/>
                <w:color w:val="4472C4"/>
                <w:sz w:val="28"/>
                <w:szCs w:val="28"/>
                <w:rtl/>
              </w:rPr>
              <w:t>للقاءات العلمية الدورية مع المشرف.</w:t>
            </w:r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r w:rsidRPr="00294751">
              <w:rPr>
                <w:rFonts w:ascii="Traditional Arabic" w:eastAsia="Traditional Arabic" w:hAnsi="Traditional Arabic" w:cs="Traditional Arabic"/>
                <w:color w:val="4472C4"/>
                <w:sz w:val="28"/>
                <w:szCs w:val="28"/>
                <w:rtl/>
              </w:rPr>
              <w:t>المحاضرات العامة.</w:t>
            </w:r>
          </w:p>
          <w:p w:rsidR="00294751" w:rsidRPr="00294751" w:rsidRDefault="00294751" w:rsidP="00294751">
            <w:pPr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rPr>
                <w:rFonts w:ascii="Traditional Arabic" w:hAnsi="Traditional Arabic" w:cs="Traditional Arabic"/>
                <w:color w:val="4472C4"/>
                <w:sz w:val="28"/>
                <w:szCs w:val="28"/>
                <w:rtl/>
              </w:rPr>
            </w:pPr>
            <w:proofErr w:type="gramStart"/>
            <w:r w:rsidRPr="00294751">
              <w:rPr>
                <w:rFonts w:ascii="Traditional Arabic" w:eastAsia="Traditional Arabic" w:hAnsi="Traditional Arabic" w:cs="Traditional Arabic" w:hint="cs"/>
                <w:color w:val="4472C4"/>
                <w:sz w:val="28"/>
                <w:szCs w:val="28"/>
                <w:rtl/>
              </w:rPr>
              <w:t>التكليف  بكتابة</w:t>
            </w:r>
            <w:proofErr w:type="gramEnd"/>
            <w:r w:rsidRPr="00294751">
              <w:rPr>
                <w:rFonts w:ascii="Traditional Arabic" w:eastAsia="Traditional Arabic" w:hAnsi="Traditional Arabic" w:cs="Traditional Arabic" w:hint="cs"/>
                <w:color w:val="4472C4"/>
                <w:sz w:val="28"/>
                <w:szCs w:val="28"/>
                <w:rtl/>
              </w:rPr>
              <w:t xml:space="preserve"> بحوث</w:t>
            </w: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.</w:t>
            </w:r>
          </w:p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294751">
              <w:rPr>
                <w:rFonts w:ascii="Traditional Arabic" w:hAnsi="Traditional Arabic" w:cs="Traditional Arabic" w:hint="cs"/>
                <w:color w:val="4472C4"/>
                <w:sz w:val="28"/>
                <w:szCs w:val="28"/>
                <w:rtl/>
              </w:rPr>
              <w:t>التمارين المنزلية</w:t>
            </w: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إظهار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الوعي بضرورة الممارسة الأخلاقية وآثرها في إنتاجية العمل وفاعليته.</w:t>
            </w:r>
          </w:p>
        </w:tc>
        <w:tc>
          <w:tcPr>
            <w:tcW w:w="2882" w:type="dxa"/>
            <w:vMerge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إظهار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قدرة على فهم الأفكار وتوظيفها.</w:t>
            </w:r>
          </w:p>
        </w:tc>
        <w:tc>
          <w:tcPr>
            <w:tcW w:w="2882" w:type="dxa"/>
            <w:vMerge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pStyle w:val="ad"/>
              <w:bidi/>
              <w:ind w:left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تطبيق منهجية البحث العلمي عمليًا</w:t>
            </w:r>
          </w:p>
        </w:tc>
        <w:tc>
          <w:tcPr>
            <w:tcW w:w="2882" w:type="dxa"/>
            <w:vMerge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3.1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على العمل والتفاعل ضمن مجموعة.</w:t>
            </w:r>
          </w:p>
        </w:tc>
        <w:tc>
          <w:tcPr>
            <w:tcW w:w="2882" w:type="dxa"/>
            <w:vMerge w:val="restart"/>
          </w:tcPr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</w:t>
            </w: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شراك الطلاب في </w:t>
            </w:r>
            <w:proofErr w:type="spellStart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الجماعية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بالإشراف على </w:t>
            </w:r>
            <w:proofErr w:type="spellStart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غير </w:t>
            </w:r>
            <w:proofErr w:type="gramStart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المناظرات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العلمية </w:t>
            </w: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ملف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الانجاز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البحوث العلمية الفردية </w:t>
            </w:r>
            <w:proofErr w:type="gramStart"/>
            <w:r w:rsidRPr="002947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والجماعية .</w:t>
            </w:r>
            <w:proofErr w:type="gramEnd"/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29475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294751" w:rsidRPr="00294751" w:rsidRDefault="00294751" w:rsidP="0029475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294751" w:rsidRPr="00294751" w:rsidRDefault="00294751" w:rsidP="00294751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على استخدام مهارة الاتصال.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على التفاعل مع محيط القاعة.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اكتساب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الوعي بالهوية الإسلامية وأخلاقياتها.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2031C6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قبول النقد والإفادة منه.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احترام الآخرين والتفاهم معهم.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pStyle w:val="ad"/>
              <w:bidi/>
              <w:ind w:left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تحمل مسؤولية التعلم الذاتي</w:t>
            </w:r>
            <w:r w:rsidRPr="002031C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،</w:t>
            </w: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والبحث عن المعلومات الشخصية ب</w:t>
            </w:r>
            <w:r w:rsidRPr="002031C6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م</w:t>
            </w: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هارة وتطوير الذات</w:t>
            </w:r>
          </w:p>
          <w:p w:rsidR="00294751" w:rsidRPr="002031C6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</w:pP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73" w:type="dxa"/>
          </w:tcPr>
          <w:p w:rsidR="00294751" w:rsidRPr="002031C6" w:rsidRDefault="00294751" w:rsidP="00294751">
            <w:pPr>
              <w:pStyle w:val="ad"/>
              <w:bidi/>
              <w:ind w:left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031C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تحمل مسؤولية جميع التكاليف والواجبات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7B11D7">
        <w:tc>
          <w:tcPr>
            <w:tcW w:w="748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12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294751" w:rsidRPr="00E8014E" w:rsidTr="00667483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73" w:type="dxa"/>
          </w:tcPr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5334D4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الاستفادة العملية من التقنيات الحديثة عبر الشبكة المعلوماتية</w:t>
            </w:r>
            <w:r w:rsidRPr="005334D4">
              <w:rPr>
                <w:rFonts w:ascii="Traditional Arabic" w:hAnsi="Traditional Arabic" w:cs="Traditional Arabic" w:hint="cs"/>
                <w:b/>
                <w:color w:val="4F81BD" w:themeColor="accent1"/>
                <w:sz w:val="28"/>
                <w:szCs w:val="28"/>
                <w:rtl/>
              </w:rPr>
              <w:t>.</w:t>
            </w:r>
          </w:p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الحوار </w:t>
            </w:r>
            <w:proofErr w:type="gramStart"/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والنقاش .</w:t>
            </w:r>
            <w:proofErr w:type="gramEnd"/>
          </w:p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التعليم </w:t>
            </w:r>
            <w:proofErr w:type="gramStart"/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التعاوني .</w:t>
            </w:r>
            <w:proofErr w:type="gramEnd"/>
          </w:p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الصفية .</w:t>
            </w:r>
            <w:proofErr w:type="gramEnd"/>
          </w:p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تكليف الطلاب بإجراء البحوث </w:t>
            </w:r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والواجبات المنزلية </w:t>
            </w: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باستخدام </w:t>
            </w:r>
            <w:proofErr w:type="gramStart"/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 .</w:t>
            </w:r>
            <w:proofErr w:type="gramEnd"/>
          </w:p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علمية</w:t>
            </w: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  <w:proofErr w:type="gramEnd"/>
          </w:p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العرض .</w:t>
            </w:r>
            <w:proofErr w:type="gramEnd"/>
          </w:p>
          <w:p w:rsidR="00294751" w:rsidRPr="005334D4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262"/>
              </w:tabs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 xml:space="preserve">تدريب الطلاب على استخدام برنامج المكتبة </w:t>
            </w:r>
            <w:proofErr w:type="gramStart"/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الشاملة .</w:t>
            </w:r>
            <w:proofErr w:type="gramEnd"/>
          </w:p>
          <w:p w:rsidR="00294751" w:rsidRPr="00E8014E" w:rsidRDefault="00294751" w:rsidP="0029475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تدريب الطلاب على استخدام برنامج التحرير الكتابي</w:t>
            </w:r>
            <w:proofErr w:type="gramStart"/>
            <w:r w:rsidRPr="005334D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.</w:t>
            </w: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  <w:bookmarkStart w:id="1" w:name="LastPosition"/>
            <w:bookmarkEnd w:id="1"/>
            <w:proofErr w:type="gramEnd"/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73" w:type="dxa"/>
          </w:tcPr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5334D4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التواصل العلمي مع محيط الجامعة وغيره عبر الشبكة المعلوماتية.</w:t>
            </w:r>
          </w:p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</w:tcPr>
          <w:p w:rsidR="00294751" w:rsidRPr="00857BFF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73" w:type="dxa"/>
          </w:tcPr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5334D4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تقديم الواجبات من خلال وسائل التقنية الحديثة.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73" w:type="dxa"/>
          </w:tcPr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5334D4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الاستفادة العملية من التقنيات الحديثة عبر الشبكة المعلوماتية</w:t>
            </w:r>
            <w:r w:rsidRPr="005334D4">
              <w:rPr>
                <w:rFonts w:ascii="Traditional Arabic" w:hAnsi="Traditional Arabic" w:cs="Traditional Arabic" w:hint="cs"/>
                <w:b/>
                <w:color w:val="4F81BD" w:themeColor="accent1"/>
                <w:sz w:val="28"/>
                <w:szCs w:val="28"/>
                <w:rtl/>
              </w:rPr>
              <w:t>.</w:t>
            </w:r>
          </w:p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667483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73" w:type="dxa"/>
          </w:tcPr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5334D4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التواصل العلمي مع محيط الجامعة وغيره عبر الشبكة المعلوماتية.</w:t>
            </w:r>
          </w:p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4751" w:rsidRPr="00E8014E" w:rsidTr="007B11D7">
        <w:tc>
          <w:tcPr>
            <w:tcW w:w="748" w:type="dxa"/>
            <w:vAlign w:val="center"/>
          </w:tcPr>
          <w:p w:rsidR="00294751" w:rsidRPr="003B42CB" w:rsidRDefault="00294751" w:rsidP="0029475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73" w:type="dxa"/>
          </w:tcPr>
          <w:p w:rsidR="00294751" w:rsidRPr="005334D4" w:rsidRDefault="00294751" w:rsidP="0029475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</w:rPr>
            </w:pPr>
            <w:r w:rsidRPr="005334D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Pr="005334D4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</w:rPr>
              <w:t>تقديم الواجبات من خلال وسائل التقنية الحديثة.</w:t>
            </w:r>
          </w:p>
        </w:tc>
        <w:tc>
          <w:tcPr>
            <w:tcW w:w="2882" w:type="dxa"/>
            <w:vMerge/>
          </w:tcPr>
          <w:p w:rsidR="00294751" w:rsidRPr="00E8014E" w:rsidRDefault="00294751" w:rsidP="0029475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57" w:type="dxa"/>
          </w:tcPr>
          <w:p w:rsidR="00294751" w:rsidRDefault="00294751" w:rsidP="00294751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BC175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Pr="00E8014E">
        <w:rPr>
          <w:rFonts w:ascii="Traditional Arabic" w:hAnsi="Traditional Arabic" w:cs="Traditional Arabic"/>
          <w:color w:val="FF0000"/>
          <w:rtl/>
        </w:rPr>
        <w:t>يمكن</w:t>
      </w:r>
      <w:proofErr w:type="spellEnd"/>
      <w:proofErr w:type="gramEnd"/>
      <w:r w:rsidRPr="00E8014E">
        <w:rPr>
          <w:rFonts w:ascii="Traditional Arabic" w:hAnsi="Traditional Arabic" w:cs="Traditional Arabic"/>
          <w:color w:val="FF0000"/>
          <w:rtl/>
        </w:rPr>
        <w:t xml:space="preserve"> تحليل تقييم مستوى اكتساب الطلاب لكل مخرج تعليمي في المقرر من خلال تقييم نتائج أداء الطلاب باستخدام مؤشر أداء للمخرج التعليمي أو من خلال مقاييس التقدير الوصفي -</w:t>
      </w:r>
      <w:proofErr w:type="spellStart"/>
      <w:r w:rsidRPr="00E8014E">
        <w:rPr>
          <w:rFonts w:ascii="Traditional Arabic" w:hAnsi="Traditional Arabic" w:cs="Traditional Arabic"/>
          <w:color w:val="FF0000"/>
          <w:rtl/>
        </w:rPr>
        <w:t>روبركس</w:t>
      </w:r>
      <w:proofErr w:type="spellEnd"/>
      <w:r w:rsidRPr="00E8014E">
        <w:rPr>
          <w:rFonts w:ascii="Traditional Arabic" w:hAnsi="Traditional Arabic" w:cs="Traditional Arabic"/>
          <w:color w:val="FF0000"/>
          <w:rtl/>
        </w:rPr>
        <w:t xml:space="preserve"> (</w:t>
      </w:r>
      <w:r w:rsidRPr="00E8014E">
        <w:rPr>
          <w:rFonts w:ascii="Traditional Arabic" w:hAnsi="Traditional Arabic" w:cs="Traditional Arabic"/>
          <w:color w:val="FF0000"/>
          <w:lang w:val="en-US"/>
        </w:rPr>
        <w:t>rubrics</w:t>
      </w:r>
      <w:r w:rsidRPr="00E8014E">
        <w:rPr>
          <w:rFonts w:ascii="Traditional Arabic" w:hAnsi="Traditional Arabic" w:cs="Traditional Arabic"/>
          <w:color w:val="FF0000"/>
          <w:rtl/>
        </w:rPr>
        <w:t>) أو أي طريقة لاحتساب الدرجات بما يتناسب مع طبيعة الأعمال أو الاختبارات محل التقييم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839"/>
        <w:gridCol w:w="715"/>
        <w:gridCol w:w="3297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087AF0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توزيع موضوعات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إلى مجموعات للمداخلة في كل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موضوع</w:t>
            </w:r>
            <w:r w:rsidR="00E44CD5"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087AF0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حوار عام لجميع القاعة لمجموعات التحضير </w:t>
            </w: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والإلقاء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>إشرف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أستاذ المقرر على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والتعليق على المادة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العلميه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وتوجيه الحوار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087AF0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المحاضرة</w:t>
            </w:r>
            <w:r w:rsidR="00E44CD5"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القراءه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والاطلاع الشامل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تكوين مجموعات عمل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والمناقشه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Pr="00087AF0" w:rsidRDefault="00087AF0" w:rsidP="00087AF0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مجموعة التحضير والإلقاء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مجموعة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المداخله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الجماعي المفتوح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البحثعن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الماده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العلميه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وعرضها من خلال الشبكة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المعلوماتيه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في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عرض التجارب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الشخصيه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في التواصل الثقافي من خلال الشبكة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المعلوماتيه</w:t>
            </w:r>
            <w:proofErr w:type="spellEnd"/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  <w:tr w:rsidR="00087AF0" w:rsidRPr="00E8014E" w:rsidTr="00E44CD5">
        <w:trPr>
          <w:cantSplit/>
          <w:trHeight w:val="1322"/>
        </w:trPr>
        <w:tc>
          <w:tcPr>
            <w:tcW w:w="4554" w:type="dxa"/>
          </w:tcPr>
          <w:p w:rsidR="00087AF0" w:rsidRDefault="00087AF0" w:rsidP="00087AF0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التواصل بين أعضاء </w:t>
            </w:r>
            <w:proofErr w:type="spellStart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القاعه</w:t>
            </w:r>
            <w:proofErr w:type="spellEnd"/>
            <w:r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 بعضهم البعض وبينهم وبين الاستاذ</w:t>
            </w:r>
          </w:p>
        </w:tc>
        <w:tc>
          <w:tcPr>
            <w:tcW w:w="76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3324" w:type="dxa"/>
          </w:tcPr>
          <w:p w:rsidR="00087AF0" w:rsidRPr="006A6F6C" w:rsidRDefault="00087AF0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791"/>
        <w:gridCol w:w="132"/>
        <w:gridCol w:w="2365"/>
        <w:gridCol w:w="2353"/>
        <w:gridCol w:w="2147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6C" w:rsidRDefault="00562B6C">
      <w:r>
        <w:separator/>
      </w:r>
    </w:p>
  </w:endnote>
  <w:endnote w:type="continuationSeparator" w:id="0">
    <w:p w:rsidR="00562B6C" w:rsidRDefault="0056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Pr="00E85FEB" w:rsidRDefault="00CF68B0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F68B0" w:rsidRDefault="00CF68B0" w:rsidP="00A97885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566" w:rsidRPr="00402566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CF68B0" w:rsidRPr="0094487B" w:rsidRDefault="00CF68B0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Pr="00BD314D" w:rsidRDefault="00CF68B0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F68B0" w:rsidRDefault="00CF68B0" w:rsidP="003A369E">
    <w:pPr>
      <w:pStyle w:val="a3"/>
      <w:bidi/>
    </w:pPr>
  </w:p>
  <w:p w:rsidR="00CF68B0" w:rsidRDefault="00CF68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6C" w:rsidRDefault="00562B6C">
      <w:r>
        <w:separator/>
      </w:r>
    </w:p>
  </w:footnote>
  <w:footnote w:type="continuationSeparator" w:id="0">
    <w:p w:rsidR="00562B6C" w:rsidRDefault="0056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B0" w:rsidRDefault="00CF68B0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68B0" w:rsidRPr="00E9121F" w:rsidRDefault="00CF68B0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97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1495"/>
    <w:multiLevelType w:val="hybridMultilevel"/>
    <w:tmpl w:val="A3685708"/>
    <w:lvl w:ilvl="0" w:tplc="4252C2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E1EB1"/>
    <w:multiLevelType w:val="hybridMultilevel"/>
    <w:tmpl w:val="7AF2F9AE"/>
    <w:lvl w:ilvl="0" w:tplc="0409000F">
      <w:start w:val="1"/>
      <w:numFmt w:val="decimal"/>
      <w:lvlText w:val="%1."/>
      <w:lvlJc w:val="left"/>
      <w:pPr>
        <w:ind w:left="1377" w:hanging="360"/>
      </w:p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2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95F03"/>
    <w:multiLevelType w:val="hybridMultilevel"/>
    <w:tmpl w:val="B90462CC"/>
    <w:lvl w:ilvl="0" w:tplc="ED240A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01957"/>
    <w:multiLevelType w:val="hybridMultilevel"/>
    <w:tmpl w:val="A7CA8586"/>
    <w:lvl w:ilvl="0" w:tplc="74E63A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43248"/>
    <w:multiLevelType w:val="hybridMultilevel"/>
    <w:tmpl w:val="B57A907C"/>
    <w:lvl w:ilvl="0" w:tplc="65A2756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17"/>
  </w:num>
  <w:num w:numId="15">
    <w:abstractNumId w:val="15"/>
  </w:num>
  <w:num w:numId="16">
    <w:abstractNumId w:val="14"/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AF0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751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566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970BB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B6C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2F1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1D7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39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A33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23D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8B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08A53B-5817-42F8-946F-009BCA6A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9C97C-A029-4F0E-A023-48460436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1742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هند سعد عبدالرحمن ابوحيمد</cp:lastModifiedBy>
  <cp:revision>3</cp:revision>
  <cp:lastPrinted>2016-01-19T12:24:00Z</cp:lastPrinted>
  <dcterms:created xsi:type="dcterms:W3CDTF">2018-04-16T05:10:00Z</dcterms:created>
  <dcterms:modified xsi:type="dcterms:W3CDTF">2018-04-16T06:06:00Z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