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الثقافة الإسلاميه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CF68B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مناهج البحث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CF68B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ثقف 341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1D1429" w:rsidP="002B72DE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CF68B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الإسلا والعلم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1D1429" w:rsidRDefault="001D1429" w:rsidP="001D1429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مفهوم العلم في الإسلام</w:t>
            </w:r>
          </w:p>
          <w:p w:rsidR="001D1429" w:rsidRDefault="001D1429" w:rsidP="001D1429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مكانة العلم ونزلته في الإسلام</w:t>
            </w:r>
          </w:p>
          <w:p w:rsidR="001D1429" w:rsidRPr="002B72DE" w:rsidRDefault="001D1429" w:rsidP="001D1429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عناية المسلمين بالعلوم</w:t>
            </w:r>
          </w:p>
        </w:tc>
        <w:tc>
          <w:tcPr>
            <w:tcW w:w="1119" w:type="dxa"/>
            <w:vAlign w:val="center"/>
          </w:tcPr>
          <w:p w:rsidR="00E14468" w:rsidRPr="00E8014E" w:rsidRDefault="00CF68B0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57B44" w:rsidRDefault="001D1429" w:rsidP="00657B44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CF68B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المكتبات في الإسلام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نشأة المكتبات في الحضارة الإسلامية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أبرز الممكتبات في الحضارة الإسلامية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أثارها في نشر العلون والمعارف</w:t>
            </w:r>
          </w:p>
          <w:p w:rsidR="001D1429" w:rsidRPr="001D1429" w:rsidRDefault="001D1429" w:rsidP="001D142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المكتبات المعاصرة أنواعها وسبل الاستفاده منها</w:t>
            </w:r>
          </w:p>
          <w:p w:rsidR="00E14468" w:rsidRPr="00657B44" w:rsidRDefault="00E14468" w:rsidP="00657B4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CF68B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1D1429" w:rsidP="0061564A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(</w:t>
            </w:r>
            <w:r w:rsidR="00CF68B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مبادئ البحث العلمي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)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المراد بالبحث العلمي وأهدافه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خصائص البحث العلمي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أهمية البحث العلمي، وأثره في تأهيل طالب العلم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 xml:space="preserve">أنواع البحث العلمي والتمييز بينهما </w:t>
            </w:r>
          </w:p>
          <w:p w:rsid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صفات الباحث وأدابه</w:t>
            </w:r>
          </w:p>
          <w:p w:rsidR="001D1429" w:rsidRPr="001D1429" w:rsidRDefault="001D1429" w:rsidP="001D1429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fr-FR"/>
              </w:rPr>
              <w:t>أهم الكتب المؤلفه في البحث العلمي</w:t>
            </w:r>
          </w:p>
        </w:tc>
        <w:tc>
          <w:tcPr>
            <w:tcW w:w="1119" w:type="dxa"/>
            <w:vAlign w:val="center"/>
          </w:tcPr>
          <w:p w:rsidR="00E14468" w:rsidRPr="00E8014E" w:rsidRDefault="00CF68B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1D1429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CF68B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مناهج البحث العلمي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)</w:t>
            </w:r>
          </w:p>
          <w:p w:rsidR="001D1429" w:rsidRDefault="001D1429" w:rsidP="001D1429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تعريف المنهج</w:t>
            </w:r>
          </w:p>
          <w:p w:rsidR="001D1429" w:rsidRDefault="001D1429" w:rsidP="001D1429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أهمية تحديد منهج البحث العلمي</w:t>
            </w:r>
          </w:p>
          <w:p w:rsidR="001D1429" w:rsidRDefault="001D1429" w:rsidP="001D1429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الأسس التي يبنى عليها اختيار منهج من مناهج البحث العلمي</w:t>
            </w:r>
          </w:p>
          <w:p w:rsidR="001D1429" w:rsidRPr="001D1429" w:rsidRDefault="001D1429" w:rsidP="001D1429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مناهج البحث العلمي المناسبة لدراسة مسائل الفقه وأصولهن والثقافة الإسلامية</w:t>
            </w:r>
          </w:p>
        </w:tc>
        <w:tc>
          <w:tcPr>
            <w:tcW w:w="1119" w:type="dxa"/>
            <w:vAlign w:val="center"/>
          </w:tcPr>
          <w:p w:rsidR="00E14468" w:rsidRPr="00E8014E" w:rsidRDefault="00CF68B0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1D1429" w:rsidP="00F0197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CF68B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صياغة خطة البحث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1D1429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اختيار موضوع البحث وصياغته وعنوانه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إعداد خطة للبحث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إبراز أهمية البحث والأسباب الداعيه لاختياره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ذكر أهم اهداف البحث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المنهج العلمي المتبع في البحث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المقارنة بالدراسات السابقه</w:t>
            </w:r>
          </w:p>
          <w:p w:rsid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وضع تقسيمات البحث بشكل منطقي ومتوازن ومراعاة الموضوعيه</w:t>
            </w:r>
          </w:p>
          <w:p w:rsidR="00565458" w:rsidRPr="00565458" w:rsidRDefault="00565458" w:rsidP="00565458">
            <w:pPr>
              <w:pStyle w:val="ad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الإشارة لأهم مصادر البحث</w:t>
            </w:r>
          </w:p>
        </w:tc>
        <w:tc>
          <w:tcPr>
            <w:tcW w:w="1119" w:type="dxa"/>
            <w:vAlign w:val="center"/>
          </w:tcPr>
          <w:p w:rsidR="00E14468" w:rsidRPr="00E8014E" w:rsidRDefault="00CF68B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7E180E" w:rsidP="00A47A3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E18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654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قواعد جمع الماده العلميه</w:t>
            </w:r>
            <w:r w:rsidR="0056545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أساليب جمع المادة العلمية</w:t>
            </w:r>
          </w:p>
          <w:p w:rsid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مراحل جمع المادة العلمية</w:t>
            </w:r>
          </w:p>
          <w:p w:rsid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الاستقصاء في جمع الماد العلمية</w:t>
            </w:r>
          </w:p>
          <w:p w:rsid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الاعتماد على المصادر الاصلية</w:t>
            </w:r>
          </w:p>
          <w:p w:rsid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الاستفادة من الدراسات المعاصرة</w:t>
            </w:r>
          </w:p>
          <w:p w:rsidR="00565458" w:rsidRPr="00565458" w:rsidRDefault="00565458" w:rsidP="00565458">
            <w:pPr>
              <w:pStyle w:val="ad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الاستفادة من التقنية الحديثة</w:t>
            </w:r>
          </w:p>
        </w:tc>
        <w:tc>
          <w:tcPr>
            <w:tcW w:w="1119" w:type="dxa"/>
            <w:vAlign w:val="center"/>
          </w:tcPr>
          <w:p w:rsidR="00E14468" w:rsidRPr="00E8014E" w:rsidRDefault="00A47A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Default="00565458" w:rsidP="00A47A3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قواعد صياغة البحث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توظيف المادة العلمية والإفادة منها والتحليل والاستنتاج</w:t>
            </w:r>
          </w:p>
          <w:p w:rsid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منهجية كتابة مسودة البحث، وآلية الاختيار منها</w:t>
            </w:r>
          </w:p>
          <w:p w:rsid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الالتزام بقواعد اللغة العربية</w:t>
            </w:r>
          </w:p>
          <w:p w:rsid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الاهتمام بعلالمات الترقيم</w:t>
            </w:r>
          </w:p>
          <w:p w:rsid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منهجية صياغة خاتمة البحث</w:t>
            </w:r>
          </w:p>
          <w:p w:rsidR="00565458" w:rsidRPr="00565458" w:rsidRDefault="00565458" w:rsidP="00565458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منهجية إعداد الفهارس المتنوعه</w:t>
            </w:r>
          </w:p>
        </w:tc>
        <w:tc>
          <w:tcPr>
            <w:tcW w:w="1119" w:type="dxa"/>
            <w:vAlign w:val="center"/>
          </w:tcPr>
          <w:p w:rsidR="00E14468" w:rsidRPr="00E8014E" w:rsidRDefault="00A47A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47A33" w:rsidRPr="00E8014E" w:rsidTr="005B74CF">
        <w:tc>
          <w:tcPr>
            <w:tcW w:w="4308" w:type="dxa"/>
            <w:vAlign w:val="center"/>
          </w:tcPr>
          <w:p w:rsidR="00A47A33" w:rsidRDefault="00565458" w:rsidP="00A47A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قواعد التعليق والتهميش والتوثيق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ضوابط التعليق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الوظائف المتعددة للحواشي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اختيار مايناسب موضوع البحث وحجمه من طرق ترقيم الحواشي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عزو الآيات وتخرج الأحاديث وفق المنهج الصحيح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شرح الألفاظ الغريبه والمصطلحات</w:t>
            </w:r>
          </w:p>
          <w:p w:rsid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عزو النصوصو للمصادر الأصلية</w:t>
            </w:r>
          </w:p>
          <w:p w:rsidR="00A87330" w:rsidRPr="00A87330" w:rsidRDefault="00A87330" w:rsidP="00A87330">
            <w:pPr>
              <w:pStyle w:val="ad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التفريق بين توثيق المنقول والمنقول بمعناه</w:t>
            </w:r>
          </w:p>
        </w:tc>
        <w:tc>
          <w:tcPr>
            <w:tcW w:w="1119" w:type="dxa"/>
            <w:vAlign w:val="center"/>
          </w:tcPr>
          <w:p w:rsidR="00A47A33" w:rsidRDefault="00A47A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47A33" w:rsidRPr="00A47A33" w:rsidRDefault="00A47A33" w:rsidP="00E44CD5">
            <w:pPr>
              <w:jc w:val="center"/>
              <w:rPr>
                <w:rFonts w:ascii="Traditional Arabic" w:hAnsi="Traditional Arabic" w:cs="Traditional Arabic"/>
                <w:color w:val="00B050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A47A33" w:rsidRPr="006A6F6C" w:rsidRDefault="00A47A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47A33" w:rsidRPr="00E8014E" w:rsidTr="005B74CF">
        <w:tc>
          <w:tcPr>
            <w:tcW w:w="4308" w:type="dxa"/>
            <w:vAlign w:val="center"/>
          </w:tcPr>
          <w:p w:rsidR="00A47A33" w:rsidRDefault="00A87330" w:rsidP="00A47A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قواعد تحقيق المخطوطات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A87330" w:rsidRDefault="00A87330" w:rsidP="00A87330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المقصود بحقيق المخطوطات والهدف منه</w:t>
            </w:r>
          </w:p>
          <w:p w:rsidR="00A87330" w:rsidRDefault="00A87330" w:rsidP="00A87330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مناهج تحقيق  المخطوطات</w:t>
            </w:r>
          </w:p>
          <w:p w:rsidR="00A87330" w:rsidRDefault="00A87330" w:rsidP="00A87330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كيفية التعليق والتهميش على المخطوطات</w:t>
            </w:r>
          </w:p>
          <w:p w:rsidR="00A87330" w:rsidRPr="00A87330" w:rsidRDefault="00A87330" w:rsidP="00A87330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الاطلاع على نماذج من تحقيق المخطوطات</w:t>
            </w:r>
          </w:p>
        </w:tc>
        <w:tc>
          <w:tcPr>
            <w:tcW w:w="1119" w:type="dxa"/>
            <w:vAlign w:val="center"/>
          </w:tcPr>
          <w:p w:rsidR="00A47A33" w:rsidRDefault="00A47A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47A33" w:rsidRPr="006A6F6C" w:rsidRDefault="00A47A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47A33" w:rsidRPr="006A6F6C" w:rsidRDefault="00A47A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47A33" w:rsidRPr="00E8014E" w:rsidTr="005B74CF">
        <w:tc>
          <w:tcPr>
            <w:tcW w:w="4308" w:type="dxa"/>
            <w:vAlign w:val="center"/>
          </w:tcPr>
          <w:p w:rsidR="00A47A33" w:rsidRDefault="00A87330" w:rsidP="00A47A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المراجع والمصادر وطريقة ترتيبها وفهرستها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A87330" w:rsidRDefault="00A87330" w:rsidP="00A87330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بالمصادر والمراجع</w:t>
            </w:r>
          </w:p>
          <w:p w:rsidR="00A87330" w:rsidRDefault="00A87330" w:rsidP="00A87330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 المراجع والمصادر</w:t>
            </w:r>
          </w:p>
          <w:p w:rsidR="00A87330" w:rsidRDefault="00A87330" w:rsidP="00A87330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أهم المراجع والصادر لكتابة البحث العلمي في مجالات التخصص</w:t>
            </w:r>
          </w:p>
          <w:p w:rsidR="00A87330" w:rsidRDefault="00A87330" w:rsidP="00A87330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طريقة ترتيب المراجع والمصادر في الحاشية</w:t>
            </w:r>
          </w:p>
          <w:p w:rsidR="00A87330" w:rsidRPr="00A87330" w:rsidRDefault="00A87330" w:rsidP="00A87330">
            <w:pPr>
              <w:pStyle w:val="ad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طريقة ترتيب المراجع والمصادر في الفهارس</w:t>
            </w:r>
          </w:p>
        </w:tc>
        <w:tc>
          <w:tcPr>
            <w:tcW w:w="1119" w:type="dxa"/>
            <w:vAlign w:val="center"/>
          </w:tcPr>
          <w:p w:rsidR="00A47A33" w:rsidRDefault="00A47A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2</w:t>
            </w:r>
          </w:p>
        </w:tc>
        <w:tc>
          <w:tcPr>
            <w:tcW w:w="1087" w:type="dxa"/>
          </w:tcPr>
          <w:p w:rsidR="00A47A33" w:rsidRPr="006A6F6C" w:rsidRDefault="00A47A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47A33" w:rsidRPr="006A6F6C" w:rsidRDefault="00A47A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47A33" w:rsidRPr="00E8014E" w:rsidTr="005B74CF">
        <w:tc>
          <w:tcPr>
            <w:tcW w:w="4308" w:type="dxa"/>
            <w:vAlign w:val="center"/>
          </w:tcPr>
          <w:p w:rsidR="00A47A33" w:rsidRDefault="00A87330" w:rsidP="00A47A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طباعة البحث وإخراجه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الاهتمام بوضوح الحروف والكلمات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الكتابة على وجه واحد من الصفحة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ترقيم صفحات البحث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التمييز بين العناوين الرئيسية والجانبية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استقلالق كل معلومة بفقرة</w:t>
            </w:r>
          </w:p>
          <w:p w:rsidR="00A87330" w:rsidRDefault="00A87330" w:rsidP="00A87330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الفصل بين المباحث </w:t>
            </w:r>
            <w:r w:rsidR="00CA25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وعدم التداخل بينهما</w:t>
            </w:r>
          </w:p>
          <w:p w:rsidR="00CA25F5" w:rsidRDefault="00CA25F5" w:rsidP="00CA25F5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حجم الخط في صلب البحث</w:t>
            </w:r>
          </w:p>
          <w:p w:rsidR="00CA25F5" w:rsidRDefault="00CA25F5" w:rsidP="00CA25F5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كتابة المععلومات على صقحة العنوان</w:t>
            </w:r>
          </w:p>
          <w:p w:rsidR="00CA25F5" w:rsidRDefault="00CA25F5" w:rsidP="00CA25F5">
            <w:pPr>
              <w:pStyle w:val="ad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مظهر البحث وشكله</w:t>
            </w:r>
          </w:p>
          <w:p w:rsidR="00CA25F5" w:rsidRPr="00CA25F5" w:rsidRDefault="00CA25F5" w:rsidP="00CA25F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A47A33" w:rsidRDefault="00A8733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</w:t>
            </w:r>
          </w:p>
        </w:tc>
        <w:tc>
          <w:tcPr>
            <w:tcW w:w="1087" w:type="dxa"/>
          </w:tcPr>
          <w:p w:rsidR="00A47A33" w:rsidRPr="006A6F6C" w:rsidRDefault="00A47A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  <w:vMerge w:val="restart"/>
          </w:tcPr>
          <w:p w:rsidR="00A47A33" w:rsidRPr="006A6F6C" w:rsidRDefault="00A47A33" w:rsidP="00E44CD5">
            <w:pPr>
              <w:rPr>
                <w:rFonts w:ascii="Traditional Arabic" w:hAnsi="Traditional Arabic" w:cs="Traditional Arabic"/>
                <w:color w:val="00B050"/>
                <w:rtl/>
              </w:rPr>
            </w:pPr>
            <w:r>
              <w:rPr>
                <w:rFonts w:ascii="Traditional Arabic" w:hAnsi="Traditional Arabic" w:cs="Traditional Arabic" w:hint="cs"/>
                <w:color w:val="00B050"/>
                <w:rtl/>
              </w:rPr>
              <w:t>نظراً لتقديم الاختبارات</w:t>
            </w:r>
          </w:p>
        </w:tc>
      </w:tr>
      <w:tr w:rsidR="00A47A33" w:rsidRPr="00E8014E" w:rsidTr="005B74CF">
        <w:tc>
          <w:tcPr>
            <w:tcW w:w="4308" w:type="dxa"/>
            <w:vAlign w:val="center"/>
          </w:tcPr>
          <w:p w:rsidR="00A47A33" w:rsidRDefault="00CA25F5" w:rsidP="00A47A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(</w:t>
            </w:r>
            <w:r w:rsidR="00A47A3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التدريب على إعداد بحث علمي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)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اختيار الموضوع المناسب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إعداد خطة البحث وفقاً للمنهج العلمي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عرض الخطه على المرشد للوصول ها إلى افضل مستوى ممكن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جمع المادة العلمية وفقاً للمنهج العلمي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صياغة البحث وكتابته وفقً للمنهج العلمي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الالتزام بالمنهج العلمي مع التعليق والتهميش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العناية بصياغة المقدمة والخاتمة</w:t>
            </w:r>
          </w:p>
          <w:p w:rsid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إعداد أنواع الفهارس المختلفة التي يحتاجها الباحث والإفادة من التقنية الحديثة في ذلك</w:t>
            </w:r>
          </w:p>
          <w:p w:rsidR="00CA25F5" w:rsidRPr="00CA25F5" w:rsidRDefault="00CA25F5" w:rsidP="00CA25F5">
            <w:pPr>
              <w:pStyle w:val="ad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عرض </w:t>
            </w:r>
          </w:p>
        </w:tc>
        <w:tc>
          <w:tcPr>
            <w:tcW w:w="1119" w:type="dxa"/>
            <w:vAlign w:val="center"/>
          </w:tcPr>
          <w:p w:rsidR="00A47A33" w:rsidRDefault="00A8733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87" w:type="dxa"/>
          </w:tcPr>
          <w:p w:rsidR="00A47A33" w:rsidRPr="006A6F6C" w:rsidRDefault="00A47A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  <w:vMerge/>
          </w:tcPr>
          <w:p w:rsidR="00A47A33" w:rsidRPr="006A6F6C" w:rsidRDefault="00A47A33" w:rsidP="00E44CD5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73"/>
        <w:gridCol w:w="2882"/>
        <w:gridCol w:w="2857"/>
      </w:tblGrid>
      <w:tr w:rsidR="00B82FD8" w:rsidRPr="00E8014E" w:rsidTr="007B11D7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1.1</w:t>
            </w:r>
          </w:p>
        </w:tc>
        <w:tc>
          <w:tcPr>
            <w:tcW w:w="2873" w:type="dxa"/>
            <w:vAlign w:val="center"/>
          </w:tcPr>
          <w:p w:rsidR="00E14468" w:rsidRPr="00134897" w:rsidRDefault="003F61DE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يعرف الطالب من</w:t>
            </w:r>
            <w:r w:rsidR="00B8723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اهج البحث العلمي</w:t>
            </w:r>
          </w:p>
        </w:tc>
        <w:tc>
          <w:tcPr>
            <w:tcW w:w="2882" w:type="dxa"/>
            <w:vMerge w:val="restart"/>
            <w:vAlign w:val="center"/>
          </w:tcPr>
          <w:p w:rsidR="0075778E" w:rsidRPr="0075778E" w:rsidRDefault="007B11D7" w:rsidP="0075778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أوراق عمل</w:t>
            </w:r>
            <w:r w:rsidR="005D1FA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B11D7" w:rsidRDefault="007B11D7" w:rsidP="0075778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المشاركات داخل القاعه</w:t>
            </w:r>
          </w:p>
          <w:p w:rsidR="007B11D7" w:rsidRDefault="007B11D7" w:rsidP="007B11D7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بحوث</w:t>
            </w:r>
          </w:p>
          <w:p w:rsidR="007B11D7" w:rsidRDefault="007B11D7" w:rsidP="007B11D7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اختبارات</w:t>
            </w:r>
          </w:p>
          <w:p w:rsidR="007B11D7" w:rsidRDefault="007B11D7" w:rsidP="007B11D7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أوراق عمل</w:t>
            </w:r>
          </w:p>
          <w:p w:rsidR="0075778E" w:rsidRPr="0075778E" w:rsidRDefault="007B11D7" w:rsidP="007B11D7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مناقشات حواريه</w:t>
            </w:r>
            <w:r w:rsidR="0075778E" w:rsidRPr="0075778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73" w:type="dxa"/>
            <w:vAlign w:val="center"/>
          </w:tcPr>
          <w:p w:rsidR="00E14468" w:rsidRPr="00134897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يعرف الطالب مصادر البحث ومراجعة والمكتبات وتاريخها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73" w:type="dxa"/>
            <w:vAlign w:val="center"/>
          </w:tcPr>
          <w:p w:rsidR="00E14468" w:rsidRPr="00134897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يتمكن الطالب من فهم المادة العلمية </w:t>
            </w:r>
            <w:r w:rsidR="00EE4A8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73" w:type="dxa"/>
            <w:vAlign w:val="center"/>
          </w:tcPr>
          <w:p w:rsidR="00E14468" w:rsidRPr="00134897" w:rsidRDefault="00EE4A8E" w:rsidP="00B8723D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B8723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يتمكن الطالب من الربط والتمييز بين </w:t>
            </w:r>
            <w:r w:rsidR="003F61D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الأفكار، وإدراك ا</w:t>
            </w:r>
            <w:r w:rsidR="00B8723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لقدر المشترك وأوجه الاختلاف بينهما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73" w:type="dxa"/>
            <w:vAlign w:val="center"/>
          </w:tcPr>
          <w:p w:rsidR="00E14468" w:rsidRPr="00134897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الاستنتاج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73" w:type="dxa"/>
            <w:vAlign w:val="center"/>
          </w:tcPr>
          <w:p w:rsidR="00E14468" w:rsidRPr="00134897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F61D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 الطالب قادراً على التحليل والتركيب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تكوين الرأي والتعبير عنه</w:t>
            </w:r>
          </w:p>
        </w:tc>
        <w:tc>
          <w:tcPr>
            <w:tcW w:w="2882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الحوار والنقاش والنقد</w:t>
            </w:r>
          </w:p>
        </w:tc>
        <w:tc>
          <w:tcPr>
            <w:tcW w:w="2882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العمل والتفاعل ضمن مجموعة</w:t>
            </w:r>
          </w:p>
        </w:tc>
        <w:tc>
          <w:tcPr>
            <w:tcW w:w="2882" w:type="dxa"/>
          </w:tcPr>
          <w:p w:rsidR="00B8723D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6"/>
                <w:szCs w:val="36"/>
                <w:rtl/>
              </w:rPr>
              <w:t>التقييم الذاتي</w:t>
            </w:r>
          </w:p>
          <w:p w:rsidR="007B11D7" w:rsidRDefault="007B11D7" w:rsidP="007B11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6"/>
                <w:szCs w:val="36"/>
                <w:rtl/>
              </w:rPr>
              <w:t xml:space="preserve">تقييم </w:t>
            </w:r>
          </w:p>
          <w:p w:rsidR="007B11D7" w:rsidRPr="00E8014E" w:rsidRDefault="007B11D7" w:rsidP="007B11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6"/>
                <w:szCs w:val="36"/>
                <w:rtl/>
              </w:rPr>
              <w:t>المجموعات بعضهم البعض</w:t>
            </w: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B11D7" w:rsidRPr="00E8014E" w:rsidTr="007B11D7">
        <w:tc>
          <w:tcPr>
            <w:tcW w:w="748" w:type="dxa"/>
          </w:tcPr>
          <w:p w:rsid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7B11D7" w:rsidRDefault="007B11D7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استخدام مهارة الاتصال</w:t>
            </w:r>
          </w:p>
        </w:tc>
        <w:tc>
          <w:tcPr>
            <w:tcW w:w="2882" w:type="dxa"/>
            <w:vMerge w:val="restart"/>
          </w:tcPr>
          <w:p w:rsidR="007B11D7" w:rsidRPr="00E8014E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6"/>
                <w:szCs w:val="36"/>
                <w:rtl/>
              </w:rPr>
              <w:t>الملاحظه المباشرة للحوارات والمناقشات</w:t>
            </w:r>
          </w:p>
        </w:tc>
        <w:tc>
          <w:tcPr>
            <w:tcW w:w="2857" w:type="dxa"/>
          </w:tcPr>
          <w:p w:rsidR="007B11D7" w:rsidRPr="00074D80" w:rsidRDefault="007B11D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B11D7" w:rsidRPr="00E8014E" w:rsidTr="007B11D7">
        <w:tc>
          <w:tcPr>
            <w:tcW w:w="748" w:type="dxa"/>
          </w:tcPr>
          <w:p w:rsid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7B11D7" w:rsidRDefault="007B11D7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يتوثق شعور الطالب بقدرته على كتابة البحث والتعامل مع المصادر</w:t>
            </w:r>
          </w:p>
        </w:tc>
        <w:tc>
          <w:tcPr>
            <w:tcW w:w="2882" w:type="dxa"/>
            <w:vMerge/>
          </w:tcPr>
          <w:p w:rsidR="007B11D7" w:rsidRPr="00E8014E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7B11D7" w:rsidRPr="00074D80" w:rsidRDefault="007B11D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B11D7" w:rsidRPr="00E8014E" w:rsidTr="007B11D7">
        <w:tc>
          <w:tcPr>
            <w:tcW w:w="748" w:type="dxa"/>
          </w:tcPr>
          <w:p w:rsid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7B11D7" w:rsidRDefault="003F61DE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</w:t>
            </w:r>
            <w:r w:rsidR="007B11D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لب تقديم التغذية الراجعة الناتجة عن العلاقة وقبول النقد</w:t>
            </w:r>
          </w:p>
        </w:tc>
        <w:tc>
          <w:tcPr>
            <w:tcW w:w="2882" w:type="dxa"/>
            <w:vMerge/>
          </w:tcPr>
          <w:p w:rsidR="007B11D7" w:rsidRPr="00E8014E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7B11D7" w:rsidRPr="00074D80" w:rsidRDefault="007B11D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B11D7" w:rsidRPr="00E8014E" w:rsidTr="007B11D7">
        <w:tc>
          <w:tcPr>
            <w:tcW w:w="748" w:type="dxa"/>
          </w:tcPr>
          <w:p w:rsid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7B11D7" w:rsidRDefault="007B11D7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قادراً على الاستفادة العلمية عبر الشبكة المعلوماتيه</w:t>
            </w:r>
          </w:p>
        </w:tc>
        <w:tc>
          <w:tcPr>
            <w:tcW w:w="2882" w:type="dxa"/>
            <w:vMerge w:val="restart"/>
          </w:tcPr>
          <w:p w:rsidR="007B11D7" w:rsidRP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4"/>
                <w:szCs w:val="34"/>
                <w:rtl/>
              </w:rPr>
            </w:pPr>
            <w:r w:rsidRPr="007B11D7">
              <w:rPr>
                <w:rFonts w:ascii="Traditional Arabic" w:hAnsi="Traditional Arabic" w:cs="Traditional Arabic" w:hint="cs"/>
                <w:color w:val="365F91" w:themeColor="accent1" w:themeShade="BF"/>
                <w:sz w:val="34"/>
                <w:szCs w:val="34"/>
                <w:rtl/>
              </w:rPr>
              <w:t>تقديم أوراق عمل مستخدماً برامج حاسوبية.</w:t>
            </w:r>
          </w:p>
          <w:p w:rsidR="007B11D7" w:rsidRPr="00E8014E" w:rsidRDefault="007B11D7" w:rsidP="007B11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7B11D7">
              <w:rPr>
                <w:rFonts w:ascii="Traditional Arabic" w:hAnsi="Traditional Arabic" w:cs="Traditional Arabic" w:hint="cs"/>
                <w:color w:val="365F91" w:themeColor="accent1" w:themeShade="BF"/>
                <w:sz w:val="34"/>
                <w:szCs w:val="34"/>
                <w:rtl/>
              </w:rPr>
              <w:t>محاضرة شهرية يشترك فيها جميع أعضاء القاعه من خلال الشبكة المعلوماتيه وتقييم الأداء من قبل الأستاذ والطلاب</w:t>
            </w:r>
          </w:p>
        </w:tc>
        <w:tc>
          <w:tcPr>
            <w:tcW w:w="2857" w:type="dxa"/>
          </w:tcPr>
          <w:p w:rsidR="007B11D7" w:rsidRPr="00074D80" w:rsidRDefault="007B11D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B11D7" w:rsidRPr="00E8014E" w:rsidTr="007B11D7">
        <w:tc>
          <w:tcPr>
            <w:tcW w:w="748" w:type="dxa"/>
          </w:tcPr>
          <w:p w:rsidR="007B11D7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7B11D7" w:rsidRDefault="007B11D7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الطابلب قادراً على التواصل الثقافي مع المجتمع وغيره عبر الشبكه المعلوماتيه</w:t>
            </w:r>
          </w:p>
        </w:tc>
        <w:tc>
          <w:tcPr>
            <w:tcW w:w="2882" w:type="dxa"/>
            <w:vMerge/>
          </w:tcPr>
          <w:p w:rsidR="007B11D7" w:rsidRPr="00E8014E" w:rsidRDefault="007B11D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7B11D7" w:rsidRPr="00074D80" w:rsidRDefault="007B11D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73" w:type="dxa"/>
          </w:tcPr>
          <w:p w:rsidR="00E14468" w:rsidRPr="00E8014E" w:rsidRDefault="00285238" w:rsidP="00CA25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CA25F5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فهم الماده العلمية</w:t>
            </w:r>
          </w:p>
        </w:tc>
        <w:tc>
          <w:tcPr>
            <w:tcW w:w="2882" w:type="dxa"/>
            <w:vMerge w:val="restart"/>
            <w:vAlign w:val="center"/>
          </w:tcPr>
          <w:p w:rsidR="00E14468" w:rsidRDefault="008679A4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تحليل وتفسير المادة</w:t>
            </w:r>
          </w:p>
          <w:p w:rsidR="008679A4" w:rsidRDefault="008679A4" w:rsidP="008679A4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ind w:left="604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العلمية المقروءه داخل القاعه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البحث العلمي في</w:t>
            </w:r>
            <w:r w:rsidR="007529C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المصادر وقواعد المعلومات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المحاضرات الصفيه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مجموعات النقاش الصغيره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الزيارات الميدانيه للمعمل الثقافي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التطبيقات الصفيه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نماذج بحثيه للمحاكاة أو النقد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حل المشكلات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المنظرات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دراسة المقالات 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القراءه الخارجية في المراجع والمقالات 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اللقاءات العلمية الدورية مع المشرف 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المحاضرات العامه</w:t>
            </w:r>
          </w:p>
          <w:p w:rsid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التكليف بكتابة البحث</w:t>
            </w:r>
          </w:p>
          <w:p w:rsidR="008679A4" w:rsidRPr="008679A4" w:rsidRDefault="008679A4" w:rsidP="008679A4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التمارين المنزلية</w:t>
            </w:r>
          </w:p>
        </w:tc>
        <w:tc>
          <w:tcPr>
            <w:tcW w:w="285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73" w:type="dxa"/>
          </w:tcPr>
          <w:p w:rsidR="00E14468" w:rsidRPr="00E8014E" w:rsidRDefault="00285238" w:rsidP="00CA25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CA25F5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التمييز بين الأفكار ويربط بينها ، وإدراك القدر المشترك وأوجه الإختلاف بينها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73" w:type="dxa"/>
          </w:tcPr>
          <w:p w:rsidR="00E14468" w:rsidRPr="00E8014E" w:rsidRDefault="00285238" w:rsidP="00CA25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CA25F5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الاستنتاج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73" w:type="dxa"/>
          </w:tcPr>
          <w:p w:rsidR="00E14468" w:rsidRPr="00E8014E" w:rsidRDefault="00285238" w:rsidP="00CA25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CA25F5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التحليل والتركيب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73" w:type="dxa"/>
          </w:tcPr>
          <w:p w:rsidR="00E14468" w:rsidRPr="00E8014E" w:rsidRDefault="00A35332" w:rsidP="00CA25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 على </w:t>
            </w:r>
            <w:r w:rsidR="00CA25F5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تكوبن الرأي والتعبير عنه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73" w:type="dxa"/>
            <w:vAlign w:val="center"/>
          </w:tcPr>
          <w:p w:rsidR="00E14468" w:rsidRPr="00134897" w:rsidRDefault="00A35332" w:rsidP="00CA25F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</w:t>
            </w:r>
            <w:r w:rsidR="00CA25F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لحوار والنقاش والنقد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73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73" w:type="dxa"/>
          </w:tcPr>
          <w:p w:rsidR="00E14468" w:rsidRPr="00134897" w:rsidRDefault="00A35332" w:rsidP="00CA25F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CA25F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البحث العلمي وترتيب المعلومات من المصادر المختلفة</w:t>
            </w:r>
          </w:p>
        </w:tc>
        <w:tc>
          <w:tcPr>
            <w:tcW w:w="2882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8679A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العمل والتفاعل مع المجموعة</w:t>
            </w:r>
          </w:p>
        </w:tc>
        <w:tc>
          <w:tcPr>
            <w:tcW w:w="2882" w:type="dxa"/>
            <w:vMerge w:val="restart"/>
          </w:tcPr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إشتراك الطلاب في المناشط الجماعيه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تأليف فرق عمل لإنجاز التمارين المنزلية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بالإشراف على المناشط غير الصفيه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عقد المناظرات العلمية 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ملف الإنجاز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التمارين المنزليه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الفرديه والجماعيه</w:t>
            </w:r>
          </w:p>
          <w:p w:rsidR="00EB18A6" w:rsidRDefault="00EB18A6" w:rsidP="00EB18A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</w:t>
            </w:r>
            <w:r w:rsidR="007529C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في بعض المسائل ومناقشتها</w:t>
            </w:r>
          </w:p>
          <w:p w:rsidR="00E14468" w:rsidRPr="00E8014E" w:rsidRDefault="00EB18A6" w:rsidP="00EB18A6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8679A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 مهارة الاتصال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8679A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توثيق شعوره بقدته على كتابة البحث والتعامل مع المصادر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7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8679A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تقديم التغذية الرا</w:t>
            </w:r>
            <w:r w:rsidR="007529C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ج</w:t>
            </w:r>
            <w:r w:rsidR="008679A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عة الناتجة عن العلاقه وقبول النقد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</w:t>
            </w:r>
            <w:r w:rsidR="008679A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الشخصية بمهارة وتطوير الذات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73" w:type="dxa"/>
          </w:tcPr>
          <w:p w:rsidR="00E14468" w:rsidRPr="00134897" w:rsidRDefault="00E14468" w:rsidP="008679A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</w:t>
            </w:r>
            <w:r w:rsidR="008679A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تحمل مسؤولية جميع التكاليف والواجبات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73" w:type="dxa"/>
          </w:tcPr>
          <w:p w:rsidR="00E14468" w:rsidRPr="00134897" w:rsidRDefault="00E14468" w:rsidP="005412DC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5412D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 بالقيم الإسلايمة وآداب الخلاف ومبادئ وأخلاقيات المهن</w:t>
            </w:r>
          </w:p>
        </w:tc>
        <w:tc>
          <w:tcPr>
            <w:tcW w:w="2882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73" w:type="dxa"/>
            <w:vAlign w:val="center"/>
          </w:tcPr>
          <w:p w:rsidR="00E14468" w:rsidRPr="00134897" w:rsidRDefault="00E14468" w:rsidP="007529C4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7529C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الاستفادة العلمية عبر الشبكه  المعلوماتية </w:t>
            </w:r>
          </w:p>
        </w:tc>
        <w:tc>
          <w:tcPr>
            <w:tcW w:w="2882" w:type="dxa"/>
            <w:vMerge w:val="restart"/>
            <w:vAlign w:val="center"/>
          </w:tcPr>
          <w:p w:rsid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</w:t>
            </w:r>
          </w:p>
          <w:p w:rsid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</w:t>
            </w:r>
          </w:p>
          <w:p w:rsid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المحاضرات الصفية</w:t>
            </w:r>
          </w:p>
          <w:p w:rsid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بإجراء البحوث والواجبات المنزلية باستخدام التقنية</w:t>
            </w:r>
          </w:p>
          <w:p w:rsid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بعمل تقارير كتابية عن موضوعات علمية</w:t>
            </w:r>
          </w:p>
          <w:p w:rsidR="00E14468" w:rsidRPr="007529C4" w:rsidRDefault="007529C4" w:rsidP="007529C4">
            <w:pPr>
              <w:pStyle w:val="ad"/>
              <w:numPr>
                <w:ilvl w:val="0"/>
                <w:numId w:val="2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بايتخدام أجهزة العرض </w:t>
            </w:r>
            <w:r w:rsidR="00840422" w:rsidRPr="007529C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  <w:bookmarkStart w:id="0" w:name="LastPosition"/>
            <w:bookmarkEnd w:id="0"/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73" w:type="dxa"/>
          </w:tcPr>
          <w:p w:rsidR="00E14468" w:rsidRPr="00134897" w:rsidRDefault="00E14468" w:rsidP="007529C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7529C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التواصل الثقافي مع المجتمع وغيره عبر الشبكة المعلوماتية</w:t>
            </w:r>
          </w:p>
        </w:tc>
        <w:tc>
          <w:tcPr>
            <w:tcW w:w="2882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7B11D7">
        <w:tc>
          <w:tcPr>
            <w:tcW w:w="748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73" w:type="dxa"/>
          </w:tcPr>
          <w:p w:rsidR="00E14468" w:rsidRPr="00134897" w:rsidRDefault="00E14468" w:rsidP="007529C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7529C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تقديم الواجبا من خلال وسائل التقنية الحديثة </w:t>
            </w:r>
          </w:p>
        </w:tc>
        <w:tc>
          <w:tcPr>
            <w:tcW w:w="2882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-روبركس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توزيع موضوعات القاعه إلى مجموعات للمداخلة في كل 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حوار عام لجميع القاعة لمجموعات التحضير 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إشرف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أستاذ المقرر على القاعه والتعليق على المادة العلميه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والمناقشه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مجموعة المداخله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البحثعن الماده العلميه وعرضها من خلال الشبكة المعلوماتيه في القاعه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عرض التجارب الشخصيه في التواصل الثقافي من خلال الشبكة المعلوماتيه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التواصل بين أعضاء القاعه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1" w:name="_GoBack"/>
      <w:bookmarkEnd w:id="1"/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791"/>
        <w:gridCol w:w="132"/>
        <w:gridCol w:w="2365"/>
        <w:gridCol w:w="2353"/>
        <w:gridCol w:w="2147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57" w:rsidRDefault="00BB7E57">
      <w:r>
        <w:separator/>
      </w:r>
    </w:p>
  </w:endnote>
  <w:endnote w:type="continuationSeparator" w:id="0">
    <w:p w:rsidR="00BB7E57" w:rsidRDefault="00BB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C4" w:rsidRPr="00E85FEB" w:rsidRDefault="007529C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529C4" w:rsidRDefault="007529C4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9FA" w:rsidRPr="00E529FA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7529C4" w:rsidRPr="0094487B" w:rsidRDefault="007529C4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C4" w:rsidRPr="00BD314D" w:rsidRDefault="007529C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529C4" w:rsidRDefault="007529C4" w:rsidP="003A369E">
    <w:pPr>
      <w:pStyle w:val="a3"/>
      <w:bidi/>
    </w:pPr>
  </w:p>
  <w:p w:rsidR="007529C4" w:rsidRDefault="007529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57" w:rsidRDefault="00BB7E57">
      <w:r>
        <w:separator/>
      </w:r>
    </w:p>
  </w:footnote>
  <w:footnote w:type="continuationSeparator" w:id="0">
    <w:p w:rsidR="00BB7E57" w:rsidRDefault="00BB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C4" w:rsidRDefault="007529C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C4" w:rsidRPr="00E9121F" w:rsidRDefault="007529C4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189A0C49"/>
    <w:multiLevelType w:val="hybridMultilevel"/>
    <w:tmpl w:val="E214B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16DDF"/>
    <w:multiLevelType w:val="hybridMultilevel"/>
    <w:tmpl w:val="85D0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6136"/>
    <w:multiLevelType w:val="hybridMultilevel"/>
    <w:tmpl w:val="4F6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5F64"/>
    <w:multiLevelType w:val="hybridMultilevel"/>
    <w:tmpl w:val="B79E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0">
    <w:nsid w:val="392157CC"/>
    <w:multiLevelType w:val="hybridMultilevel"/>
    <w:tmpl w:val="E3B6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95938C5"/>
    <w:multiLevelType w:val="hybridMultilevel"/>
    <w:tmpl w:val="5852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F45E2C"/>
    <w:multiLevelType w:val="hybridMultilevel"/>
    <w:tmpl w:val="1130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59A1"/>
    <w:multiLevelType w:val="hybridMultilevel"/>
    <w:tmpl w:val="5832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6F7"/>
    <w:multiLevelType w:val="hybridMultilevel"/>
    <w:tmpl w:val="55BA43F2"/>
    <w:lvl w:ilvl="0" w:tplc="B776CB70">
      <w:start w:val="1"/>
      <w:numFmt w:val="decimal"/>
      <w:lvlText w:val="%1."/>
      <w:lvlJc w:val="center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73C0"/>
    <w:multiLevelType w:val="hybridMultilevel"/>
    <w:tmpl w:val="9FC0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C5856"/>
    <w:multiLevelType w:val="hybridMultilevel"/>
    <w:tmpl w:val="4C76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06416"/>
    <w:multiLevelType w:val="hybridMultilevel"/>
    <w:tmpl w:val="F416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33F3C"/>
    <w:multiLevelType w:val="hybridMultilevel"/>
    <w:tmpl w:val="6484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52054"/>
    <w:multiLevelType w:val="hybridMultilevel"/>
    <w:tmpl w:val="E6C0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7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24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  <w:num w:numId="18">
    <w:abstractNumId w:val="23"/>
  </w:num>
  <w:num w:numId="19">
    <w:abstractNumId w:val="25"/>
  </w:num>
  <w:num w:numId="20">
    <w:abstractNumId w:val="22"/>
  </w:num>
  <w:num w:numId="21">
    <w:abstractNumId w:val="18"/>
  </w:num>
  <w:num w:numId="22">
    <w:abstractNumId w:val="10"/>
  </w:num>
  <w:num w:numId="23">
    <w:abstractNumId w:val="12"/>
  </w:num>
  <w:num w:numId="24">
    <w:abstractNumId w:val="5"/>
  </w:num>
  <w:num w:numId="25">
    <w:abstractNumId w:val="6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429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61DE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07CC4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2DC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58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29C4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2CE7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9A4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991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330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B7E57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5F5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29FA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4ABA"/>
    <w:rsid w:val="00EA6298"/>
    <w:rsid w:val="00EA6658"/>
    <w:rsid w:val="00EA7D8A"/>
    <w:rsid w:val="00EA7E0C"/>
    <w:rsid w:val="00EB18A6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46A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3F625-B992-410E-A1CF-28092BB5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1979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7</cp:revision>
  <cp:lastPrinted>2016-01-19T12:24:00Z</cp:lastPrinted>
  <dcterms:created xsi:type="dcterms:W3CDTF">2018-04-10T07:11:00Z</dcterms:created>
  <dcterms:modified xsi:type="dcterms:W3CDTF">2018-04-15T06:04:00Z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